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офисных кресел.</w:t>
      </w:r>
    </w:p>
    <w:p>
      <w:pPr>
        <w:jc w:val="both"/>
      </w:pPr>
      <w:r>
        <w:t>1.2. Количество товара: 30 штук.</w:t>
      </w:r>
    </w:p>
    <w:p>
      <w:pPr>
        <w:jc w:val="both"/>
      </w:pPr>
      <w:r>
        <w:t>1.3. Характеристики товара: регулировка высоты сиденья, механизм качания, нагрузка не менее 120 кг.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Кресло с регулируемой высотой сиденья, механизмом качания и подлокотниками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