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0373100012326000010.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офисных кресел.</w:t>
      </w:r>
    </w:p>
    <w:p>
      <w:pPr>
        <w:jc w:val="both"/>
      </w:pPr>
      <w:r>
        <w:t>1.5. Начальная (максимальная) цена контракта: 700 000,00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Дополнительные требования к участникам закупки не установлены.</w:t>
      </w:r>
    </w:p>
    <w:p>
      <w:pPr>
        <w:jc w:val="both"/>
      </w:pPr>
      <w:r>
        <w:t>3.3. Преимущества и ограничения участия в закупке не установлены.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5 процентов цены контракта.</w:t>
      </w:r>
    </w:p>
    <w:p>
      <w:pPr>
        <w:jc w:val="both"/>
      </w:pPr>
      <w:r>
        <w:t>4.3. Обеспечение гарантийных обязательств не требуется.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