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0373100012326000014)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800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410 000,00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pPr>
        <w:jc w:val="both"/>
      </w:pPr>
      <w:r>
        <w:t>2.5. Расчёты по договору подлежат казначейскому сопровождению в соответствии с бюджетным законодательством Российской Федерации.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