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 ПРОВЕДЕНИИ ЗАПРОСА КОТИРОВОК</w:t>
      </w:r>
    </w:p>
    <w:p>
      <w:pPr>
        <w:jc w:val="center"/>
      </w:pPr>
      <w:r>
        <w:rPr>
          <w:b w:val="0"/>
        </w:rPr>
        <w:t>в электронной форме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0373100012326000016.</w:t>
      </w:r>
    </w:p>
    <w:p>
      <w:pPr>
        <w:jc w:val="both"/>
      </w:pPr>
      <w:r>
        <w:t>1.2. Закупка осуществляется в соответствии с Федеральным законом от 18.07.2011 № 223-ФЗ «О закупках товаров, работ, услуг отдельными видами юридических лиц» и Положением о закупке Заказчика.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бумаги для офисной техники.</w:t>
      </w:r>
    </w:p>
    <w:p>
      <w:pPr>
        <w:jc w:val="both"/>
      </w:pPr>
      <w:r>
        <w:t>1.5. Начальная (максимальная) цена договора: 150 000,00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Обеспечение исполнения договора</w:t>
      </w:r>
    </w:p>
    <w:p>
      <w:pPr>
        <w:jc w:val="both"/>
      </w:pPr>
      <w:r>
        <w:t>3.1. Размер обеспечения исполнения договора составляет 5 процентов цены договора.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