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0373100012326000777.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ноутбуков.</w:t>
      </w:r>
    </w:p>
    <w:p>
      <w:pPr>
        <w:jc w:val="both"/>
      </w:pPr>
      <w:r>
        <w:t>1.5. Начальная (максимальная) цена контракта: 1 890 000,00 рублей.</w:t>
      </w:r>
    </w:p>
    <w:p>
      <w:r>
        <w:rPr>
          <w:b/>
        </w:rPr>
        <w:t>2. Требования к участникам закупки</w:t>
      </w:r>
    </w:p>
    <w:p>
      <w:pPr>
        <w:jc w:val="both"/>
      </w:pPr>
      <w:r>
        <w:t>2.1.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2.2. Дополнительные требования к участникам закупки не установлены.</w:t>
      </w:r>
    </w:p>
    <w:p>
      <w:pPr>
        <w:jc w:val="both"/>
      </w:pPr>
      <w:r>
        <w:t>2.3. Преимущества и ограничения участия в закупке не установлены.</w:t>
      </w:r>
    </w:p>
    <w:p>
      <w:r>
        <w:rPr>
          <w:b/>
        </w:rPr>
        <w:t>3. Обеспечение заявки и исполнения контракта</w:t>
      </w:r>
    </w:p>
    <w:p>
      <w:pPr>
        <w:jc w:val="both"/>
      </w:pPr>
      <w:r>
        <w:t>3.1.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3.2. Размер обеспечения исполнения контракта составляет 5 процентов цены контракта.</w:t>
      </w:r>
    </w:p>
    <w:p>
      <w:pPr>
        <w:jc w:val="both"/>
      </w:pPr>
      <w:r>
        <w:t>3.3. Обеспечение гарантийных обязательств не требуется.</w:t>
      </w:r>
    </w:p>
    <w:p>
      <w:r>
        <w:rPr>
          <w:b/>
        </w:rPr>
        <w:t>4. Национальный режим</w:t>
      </w:r>
    </w:p>
    <w:p>
      <w:pPr>
        <w:jc w:val="both"/>
      </w:pPr>
      <w:r>
        <w:t>4.1.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5. Порядок заключения контракта</w:t>
      </w:r>
    </w:p>
    <w:p>
      <w:pPr>
        <w:jc w:val="both"/>
      </w:pPr>
      <w:r>
        <w:t>5.1.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5.2.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