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A3A5C"/>
          <w:sz w:val="44"/>
        </w:rPr>
        <w:t>GUÍA EJECUTIVA: SIMULADOR DE IMPACTO ARANCELARIO</w:t>
      </w:r>
    </w:p>
    <w:p>
      <w:pPr>
        <w:spacing w:after="480"/>
      </w:pPr>
      <w:r>
        <w:rPr>
          <w:i/>
          <w:color w:val="64748B"/>
          <w:sz w:val="26"/>
        </w:rPr>
        <w:t>Estadística para no Estadísticos: Comprendiendo el impacto comercial del arancel de Colombia en Hino</w:t>
      </w:r>
    </w:p>
    <w:p>
      <w:pPr>
        <w:spacing w:after="400"/>
      </w:pPr>
      <w:r>
        <w:rPr>
          <w:color w:val="C0392B"/>
        </w:rPr>
        <w:t>――――――――――――――――――――――――――――――――――――――――――――――――――――――――――――</w:t>
      </w:r>
    </w:p>
    <w:p>
      <w:pPr>
        <w:spacing w:before="360" w:after="160"/>
      </w:pPr>
      <w:r>
        <w:rPr>
          <w:b/>
          <w:color w:val="1A3A5C"/>
          <w:sz w:val="32"/>
        </w:rPr>
        <w:t>1. ¿Qué es este Simulador y para qué sirve?</w:t>
      </w:r>
    </w:p>
    <w:p>
      <w:r>
        <w:t>A inicios de 2026, el arancel de importación para vehículos comerciales originarios de Colombia sufrió fuertes variaciones (subiendo progresivamente hasta un pico del 100% en Mayo, y retornando al 0% en Junio). Este simulador es una herramienta ejecutiva diseñada para responder a tres grandes preguntas del Directorio:</w:t>
        <w:br/>
        <w:br/>
        <w:t>1. ¿Cómo impactaron estas subidas de arancel a nuestros costos de importación y precios de venta al público?</w:t>
        <w:br/>
        <w:t>2. ¿Cuánto margen comercial absorbió o expandió Teojama por no trasladar el costo total al cliente?</w:t>
        <w:br/>
        <w:t>3. ¿Cuántas ventas reales perdimos frente a la competencia (Isuzu) debido a las subidas de precio?</w:t>
      </w:r>
    </w:p>
    <w:p>
      <w:pPr>
        <w:spacing w:before="200" w:after="200"/>
        <w:ind w:left="576"/>
      </w:pPr>
      <w:r>
        <w:rPr>
          <w:b/>
          <w:color w:val="C0392B"/>
        </w:rPr>
        <w:t xml:space="preserve">Nota clave para la lectura: </w:t>
      </w:r>
      <w:r>
        <w:rPr>
          <w:i/>
        </w:rPr>
        <w:t>Esta guía explica el comportamiento del simulador en un lenguaje comercial y sencillo, libre de tecnicismos matemáticos complejos, para facilitar la toma de decisiones estratégicas.</w:t>
      </w:r>
    </w:p>
    <w:p>
      <w:pPr>
        <w:spacing w:before="360" w:after="160"/>
      </w:pPr>
      <w:r>
        <w:rPr>
          <w:b/>
          <w:color w:val="1A3A5C"/>
          <w:sz w:val="32"/>
        </w:rPr>
        <w:t>2. Explicación Bloque por Bloque</w:t>
      </w:r>
    </w:p>
    <w:p>
      <w:pPr>
        <w:spacing w:before="240" w:after="120"/>
      </w:pPr>
      <w:r>
        <w:rPr>
          <w:b/>
          <w:color w:val="1A3A5C"/>
          <w:sz w:val="26"/>
        </w:rPr>
        <w:t>Bloque 1: Evolución de Precios de Lista y Cronograma de Aranceles</w:t>
      </w:r>
    </w:p>
    <w:p>
      <w:r>
        <w:t>• ¿Qué muestra? Una tabla y un gráfico que comparan el arancel mensual de Colombia frente al precio promedio de nuestros camiones Hino.</w:t>
        <w:br/>
        <w:t>• Explicación sencilla: Muestra cómo reaccionó nuestra política de precios cada vez que el gobierno subió el arancel. Por ejemplo, cuando el arancel subió al 30% en febrero, nuestros precios aumentaron en promedio un 1.7%. Cuando el arancel llegó a su pico de 100% en mayo, congelamos el precio de lista al nivel de abril (+7.7% sobre enero) para no asfixiar la demanda.</w:t>
        <w:br/>
        <w:t>• Pregunta común de Japón: ¿Por qué en Junio, si el arancel bajó a 0%, los precios de venta promedio siguen un 3.0% arriba de Enero? Comercialmente, esto ocurre por el 'rezago de inventarios' (los camiones vendidos en junio fueron importados en meses anteriores con arancel alto, por lo que su costo real de adquisición sigue siendo elevado y no se puede bajar el precio al público de golpe sin perder dinero).</w:t>
      </w:r>
    </w:p>
    <w:p>
      <w:pPr>
        <w:spacing w:before="240" w:after="120"/>
      </w:pPr>
      <w:r>
        <w:rPr>
          <w:b/>
          <w:color w:val="1A3A5C"/>
          <w:sz w:val="26"/>
        </w:rPr>
        <w:t>Bloques 2 y 3: Volúmenes de Venta Reales y Proyección de Junio</w:t>
      </w:r>
    </w:p>
    <w:p>
      <w:r>
        <w:t>• ¿Qué muestra? Las ventas reales registradas ante la AEADE de Enero a Mayo (865 unidades en total para toda la marca Hino) y una proyección estadística para el mes de Junio.</w:t>
        <w:br/>
        <w:t>• ¿Cómo se proyecta Junio sin tecnicismos? El simulador usa el modelo Holt-Winters. Para explicarlo fácil a tu jefe:</w:t>
        <w:br/>
        <w:t xml:space="preserve">  - Imaginemos que la fórmula es como un 'asesor comercial inteligente'. En lugar de solo promediar los meses pasados o trazar una línea recta simple, esta fórmula analiza los últimos 9 años de historia de ventas de Hino en Ecuador.</w:t>
        <w:br/>
        <w:t xml:space="preserve">  - Detecta la estacionalidad (ej. que en ciertos meses la venta siempre baja por feriados o cierres de año fiscal, y en otros sube) y la tendencia general del mercado. Con esta información, estima de forma lógica cuántos camiones deberíamos registrar en Junio.</w:t>
      </w:r>
    </w:p>
    <w:p>
      <w:pPr>
        <w:spacing w:before="240" w:after="120"/>
      </w:pPr>
      <w:r>
        <w:rPr>
          <w:b/>
          <w:color w:val="1A3A5C"/>
          <w:sz w:val="26"/>
        </w:rPr>
        <w:t>Bloques 4 y 5: Participación de Mercado frente a Isuzu</w:t>
      </w:r>
    </w:p>
    <w:p>
      <w:r>
        <w:t>• ¿Qué muestra? Compara mes a mes nuestro volumen de ventas y participación de mercado (Market Share) directamente contra Isuzu (nuestro competidor principal), tanto a nivel global como detallado por segmentos (camiones livianos Serie 300, medianos Serie 500, buses, pesados Serie 700).</w:t>
        <w:br/>
        <w:t>• Explicación sencilla: Nos permite ver en qué segmentos Isuzu nos ganó terreno debido a nuestros incrementos de precio y en cuáles pudimos defendernos con éxito.</w:t>
      </w:r>
    </w:p>
    <w:p>
      <w:pPr>
        <w:spacing w:before="240" w:after="120"/>
      </w:pPr>
      <w:r>
        <w:rPr>
          <w:b/>
          <w:color w:val="1A3A5C"/>
          <w:sz w:val="26"/>
        </w:rPr>
        <w:t>Bloques 6 y 7: Evolución Porcentual de Costos vs. Precios y Variación de Margen (¡El punto crítico!)</w:t>
      </w:r>
    </w:p>
    <w:p>
      <w:r>
        <w:t>Aquí es donde se analiza de manera correcta la rentabilidad de Teojama al gestionar la crisis del arancel durante el periodo real de Enero a Mayo (acumulado de 802 unidades analizadas correspondientes a nuestros 16 modelos principales).</w:t>
        <w:br/>
        <w:br/>
        <w:t>El simulador descarta las comparaciones directas en dólares (que restarían incrementos absolutos en USD) porque comparar dólares en bases tan distintas es matemáticamente incorrecto (el precio de lista es casi el doble del costo de importación, por lo que un aumento de $1,000 afecta de manera muy distinta al costo que al precio). En su lugar, el simulador analiza tasas de variación porcentual:</w:t>
        <w:br/>
        <w:br/>
        <w:t>1. Incremento de Costo (%): El porcentaje de aumento del costo de importación desde Enero (base) hasta Mayo (pico arancelario).</w:t>
        <w:br/>
        <w:t>2. Incremento de Precio (%): El porcentaje de aumento del precio de lista al público desde Enero (base) hasta Mayo.</w:t>
        <w:br/>
        <w:t>3. Variación Neta de Margen (p.p.): La diferencia directa en puntos porcentuales (Precio Inc. % - Costo Inc. %).</w:t>
        <w:br/>
        <w:t xml:space="preserve">   - Si es positiva (ej. +0.5 p.p.), significa que los precios subieron más rápido que los costos, expandiendo la rentabilidad.</w:t>
        <w:br/>
        <w:t xml:space="preserve">   - Si es negativa (ej. -1.6 p.p.), significa que los costos subieron más rápido que los precios, obligando a Teojama a absorber la diferencia y diluyendo su margen porcentual.</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r>
              <w:rPr>
                <w:b/>
                <w:color w:val="C0392B"/>
              </w:rPr>
              <w:t>🚨 EXPLICACIÓN DE LA VARIACIÓN NETA DE MARGEN (Para el Directorio / Japón):</w:t>
              <w:br/>
            </w:r>
            <w:r>
              <w:rPr>
                <w:sz w:val="20"/>
              </w:rPr>
              <w:t>¿Por qué no usamos diferencias en dólares directas?</w:t>
              <w:br/>
              <w:t>Porque si el costo sube $3,882 y el precio de lista sube $4,900, a simple vista parece que ganamos +$1,018 USD extra por unidad. Sin embargo, el incremento del costo representa un +8.57% (sobre su base de ~$45K), mientras que el aumento de precio representa solo un +6.95% (sobre su base de ~$70K). Al subir el costo porcentualmente más rápido que el precio, la rentabilidad bruta real porcentual del portafolio cayó en -1.62 puntos porcentuales (p.p.). Comparar los dólares directamente es 'comparar peras con manzanas' y ocultaría la verdadera dilución del margen comercial de la empresa.</w:t>
            </w:r>
          </w:p>
        </w:tc>
      </w:tr>
    </w:tbl>
    <w:p>
      <w:pPr>
        <w:spacing w:before="200"/>
      </w:pPr>
    </w:p>
    <w:p>
      <w:pPr>
        <w:spacing w:before="240" w:after="120"/>
      </w:pPr>
      <w:r>
        <w:rPr>
          <w:b/>
          <w:color w:val="1A3A5C"/>
          <w:sz w:val="26"/>
        </w:rPr>
        <w:t>Bloques 8 y 9: Simulación Contrafactual (Escenario sin Arancel)</w:t>
      </w:r>
    </w:p>
    <w:p>
      <w:r>
        <w:t>• ¿Qué es una simulación contrafactual? Explicado fácil: Es responder a la pregunta de 'fantasía': ¿Qué habría pasado si nunca hubiera existido el arancel y hubiéramos mantenido congelados los precios de lista de enero?</w:t>
        <w:br/>
        <w:t>• El simulador ahora ofrece DOS modelos para estimar esta simulación:</w:t>
        <w:br/>
        <w:t xml:space="preserve">  1. Modelo de Elasticidad de Precio: Es la sensibilidad del cliente al precio. El simulador usa un valor de elasticidad de -4.6 para camiones livianos. Esto significa que por cada 10% que sube el precio de un camión, las ventas caen un 46%. Es una regla de mercado comprobada.</w:t>
        <w:br/>
        <w:t xml:space="preserve">  2. Modelo de Market Share 2025 y Crecimiento: Estima lo que deberíamos haber vendido si hubiéramos mantenido la participación de mercado del 5.4% registrada de Enero a Mayo de 2025, proyectando esa participación sobre el tamaño real del mercado en 2026 (el cual creció un +35.9%). Esto ayuda a aislar la pérdida de volumen que se debió a la pérdida de nuestra posición competitiva frente a Isuzu.</w:t>
        <w:br/>
        <w:t>• Resultados de la simulación (Ene-May): Al subir los precios para cubrir el arancel, evitamos una pérdida de margen aún mayor, pero afectamos el volumen de ventas. El simulador nos permite ver gráficamente en líneas reales vs. simuladas (punteadas) cuántos camiones dejamos de registrar bajo cualquiera de los dos modelos.</w:t>
      </w:r>
    </w:p>
    <w:p>
      <w:pPr>
        <w:spacing w:before="360" w:after="160"/>
      </w:pPr>
      <w:r>
        <w:rPr>
          <w:b/>
          <w:color w:val="1A3A5C"/>
          <w:sz w:val="32"/>
        </w:rPr>
        <w:t>3. Resumen de Cifras Clave (Enero - Mayo)</w:t>
      </w:r>
    </w:p>
    <w:p>
      <w:r>
        <w:t>Para la presentación con los ejecutivos de Hino Motors Ltd. (Japón), utiliza este cuadro resumen de datos reales auditables:</w:t>
      </w:r>
    </w:p>
    <w:tbl>
      <w:tblPr>
        <w:tblW w:type="auto" w:w="0"/>
        <w:jc w:val="center"/>
        <w:tblLook w:firstColumn="1" w:firstRow="1" w:lastColumn="0" w:lastRow="0" w:noHBand="0" w:noVBand="1" w:val="04A0"/>
      </w:tblPr>
      <w:tblGrid>
        <w:gridCol w:w="4680"/>
        <w:gridCol w:w="4680"/>
      </w:tblGrid>
      <w:tr>
        <w:tc>
          <w:tcPr>
            <w:tcW w:type="dxa" w:w="4680"/>
            <w:shd w:fill="1A3A5C"/>
            <w:tcMar>
              <w:top w:w="100" w:type="dxa"/>
              <w:bottom w:w="100" w:type="dxa"/>
              <w:left w:w="150" w:type="dxa"/>
              <w:right w:w="150" w:type="dxa"/>
            </w:tcMar>
          </w:tcPr>
          <w:p>
            <w:pPr>
              <w:jc w:val="left"/>
            </w:pPr>
            <w:r>
              <w:rPr>
                <w:b/>
                <w:color w:val="FFFFFF"/>
              </w:rPr>
              <w:t>Indicador Financiero / Comercial (Jan-May 2026)</w:t>
            </w:r>
          </w:p>
        </w:tc>
        <w:tc>
          <w:tcPr>
            <w:tcW w:type="dxa" w:w="4680"/>
            <w:shd w:fill="1A3A5C"/>
            <w:tcMar>
              <w:top w:w="100" w:type="dxa"/>
              <w:bottom w:w="100" w:type="dxa"/>
              <w:left w:w="150" w:type="dxa"/>
              <w:right w:w="150" w:type="dxa"/>
            </w:tcMar>
          </w:tcPr>
          <w:p>
            <w:pPr>
              <w:jc w:val="left"/>
            </w:pPr>
            <w:r>
              <w:rPr>
                <w:b/>
                <w:color w:val="FFFFFF"/>
              </w:rPr>
              <w:t>Valor Real Auditable</w:t>
            </w:r>
          </w:p>
        </w:tc>
      </w:tr>
      <w:tr>
        <w:tc>
          <w:tcPr>
            <w:tcW w:type="dxa" w:w="4680"/>
            <w:shd w:fill="F8FAFC"/>
            <w:tcMar>
              <w:top w:w="80" w:type="dxa"/>
              <w:bottom w:w="80" w:type="dxa"/>
              <w:left w:w="150" w:type="dxa"/>
              <w:right w:w="150" w:type="dxa"/>
            </w:tcMar>
          </w:tcPr>
          <w:p>
            <w:pPr>
              <w:jc w:val="left"/>
            </w:pPr>
            <w:r>
              <w:rPr>
                <w:sz w:val="20"/>
              </w:rPr>
              <w:t>Ventas Totales Reales HINO (AEADE)</w:t>
            </w:r>
          </w:p>
        </w:tc>
        <w:tc>
          <w:tcPr>
            <w:tcW w:type="dxa" w:w="4680"/>
            <w:shd w:fill="F8FAFC"/>
            <w:tcMar>
              <w:top w:w="80" w:type="dxa"/>
              <w:bottom w:w="80" w:type="dxa"/>
              <w:left w:w="150" w:type="dxa"/>
              <w:right w:w="150" w:type="dxa"/>
            </w:tcMar>
          </w:tcPr>
          <w:p>
            <w:pPr>
              <w:jc w:val="left"/>
            </w:pPr>
            <w:r>
              <w:rPr>
                <w:b/>
                <w:sz w:val="20"/>
              </w:rPr>
              <w:t>608 unidades</w:t>
            </w:r>
          </w:p>
        </w:tc>
      </w:tr>
      <w:tr>
        <w:tc>
          <w:tcPr>
            <w:tcW w:type="dxa" w:w="4680"/>
            <w:shd w:fill="FFFFFF"/>
            <w:tcMar>
              <w:top w:w="80" w:type="dxa"/>
              <w:bottom w:w="80" w:type="dxa"/>
              <w:left w:w="150" w:type="dxa"/>
              <w:right w:w="150" w:type="dxa"/>
            </w:tcMar>
          </w:tcPr>
          <w:p>
            <w:pPr>
              <w:jc w:val="left"/>
            </w:pPr>
            <w:r>
              <w:rPr>
                <w:sz w:val="20"/>
              </w:rPr>
              <w:t>Ventas de Modelos Analizados en Brecha</w:t>
            </w:r>
          </w:p>
        </w:tc>
        <w:tc>
          <w:tcPr>
            <w:tcW w:type="dxa" w:w="4680"/>
            <w:shd w:fill="FFFFFF"/>
            <w:tcMar>
              <w:top w:w="80" w:type="dxa"/>
              <w:bottom w:w="80" w:type="dxa"/>
              <w:left w:w="150" w:type="dxa"/>
              <w:right w:w="150" w:type="dxa"/>
            </w:tcMar>
          </w:tcPr>
          <w:p>
            <w:pPr>
              <w:jc w:val="left"/>
            </w:pPr>
            <w:r>
              <w:rPr>
                <w:b/>
                <w:sz w:val="20"/>
              </w:rPr>
              <w:t>545 unidades (los 14 modelos clave)</w:t>
            </w:r>
          </w:p>
        </w:tc>
      </w:tr>
      <w:tr>
        <w:tc>
          <w:tcPr>
            <w:tcW w:type="dxa" w:w="4680"/>
            <w:shd w:fill="F8FAFC"/>
            <w:tcMar>
              <w:top w:w="80" w:type="dxa"/>
              <w:bottom w:w="80" w:type="dxa"/>
              <w:left w:w="150" w:type="dxa"/>
              <w:right w:w="150" w:type="dxa"/>
            </w:tcMar>
          </w:tcPr>
          <w:p>
            <w:pPr>
              <w:jc w:val="left"/>
            </w:pPr>
            <w:r>
              <w:rPr>
                <w:sz w:val="20"/>
              </w:rPr>
              <w:t>Incremento Promedio Ponderado de Costos (Jan-May)</w:t>
            </w:r>
          </w:p>
        </w:tc>
        <w:tc>
          <w:tcPr>
            <w:tcW w:type="dxa" w:w="4680"/>
            <w:shd w:fill="F8FAFC"/>
            <w:tcMar>
              <w:top w:w="80" w:type="dxa"/>
              <w:bottom w:w="80" w:type="dxa"/>
              <w:left w:w="150" w:type="dxa"/>
              <w:right w:w="150" w:type="dxa"/>
            </w:tcMar>
          </w:tcPr>
          <w:p>
            <w:pPr>
              <w:jc w:val="left"/>
            </w:pPr>
            <w:r>
              <w:rPr>
                <w:b/>
                <w:color w:val="1A3A5C"/>
                <w:sz w:val="20"/>
              </w:rPr>
              <w:t>+10.72% (+$5,124.40 USD por unidad)</w:t>
            </w:r>
          </w:p>
        </w:tc>
      </w:tr>
      <w:tr>
        <w:tc>
          <w:tcPr>
            <w:tcW w:type="dxa" w:w="4680"/>
            <w:shd w:fill="FFFFFF"/>
            <w:tcMar>
              <w:top w:w="80" w:type="dxa"/>
              <w:bottom w:w="80" w:type="dxa"/>
              <w:left w:w="150" w:type="dxa"/>
              <w:right w:w="150" w:type="dxa"/>
            </w:tcMar>
          </w:tcPr>
          <w:p>
            <w:pPr>
              <w:jc w:val="left"/>
            </w:pPr>
            <w:r>
              <w:rPr>
                <w:sz w:val="20"/>
              </w:rPr>
              <w:t>Incremento Promedio Ponderado de Precios (Jan-May)</w:t>
            </w:r>
          </w:p>
        </w:tc>
        <w:tc>
          <w:tcPr>
            <w:tcW w:type="dxa" w:w="4680"/>
            <w:shd w:fill="FFFFFF"/>
            <w:tcMar>
              <w:top w:w="80" w:type="dxa"/>
              <w:bottom w:w="80" w:type="dxa"/>
              <w:left w:w="150" w:type="dxa"/>
              <w:right w:w="150" w:type="dxa"/>
            </w:tcMar>
          </w:tcPr>
          <w:p>
            <w:pPr>
              <w:jc w:val="left"/>
            </w:pPr>
            <w:r>
              <w:rPr>
                <w:b/>
                <w:color w:val="1A3A5C"/>
                <w:sz w:val="20"/>
              </w:rPr>
              <w:t>+7.99% (+$5,515.78 USD por unidad)</w:t>
            </w:r>
          </w:p>
        </w:tc>
      </w:tr>
      <w:tr>
        <w:tc>
          <w:tcPr>
            <w:tcW w:type="dxa" w:w="4680"/>
            <w:shd w:fill="F8FAFC"/>
            <w:tcMar>
              <w:top w:w="80" w:type="dxa"/>
              <w:bottom w:w="80" w:type="dxa"/>
              <w:left w:w="150" w:type="dxa"/>
              <w:right w:w="150" w:type="dxa"/>
            </w:tcMar>
          </w:tcPr>
          <w:p>
            <w:pPr>
              <w:jc w:val="left"/>
            </w:pPr>
            <w:r>
              <w:rPr>
                <w:sz w:val="20"/>
              </w:rPr>
              <w:t>Variación Neta de Margen (Rentabilidad de Portafolio)</w:t>
            </w:r>
          </w:p>
        </w:tc>
        <w:tc>
          <w:tcPr>
            <w:tcW w:type="dxa" w:w="4680"/>
            <w:shd w:fill="F8FAFC"/>
            <w:tcMar>
              <w:top w:w="80" w:type="dxa"/>
              <w:bottom w:w="80" w:type="dxa"/>
              <w:left w:w="150" w:type="dxa"/>
              <w:right w:w="150" w:type="dxa"/>
            </w:tcMar>
          </w:tcPr>
          <w:p>
            <w:pPr>
              <w:jc w:val="left"/>
            </w:pPr>
            <w:r>
              <w:rPr>
                <w:b/>
                <w:sz w:val="20"/>
              </w:rPr>
              <w:t>-2.73 p.p. (Absorción neta de rentabilidad)</w:t>
            </w:r>
          </w:p>
        </w:tc>
      </w:tr>
    </w:tbl>
    <w:p>
      <w:r>
        <w:br/>
        <w:t>Esta estructura garantiza una presentación fluida, transparente y técnicamente sólida ante la alta gerencia y socios internacionales.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