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widowControl/>
        <w:spacing w:lineRule="atLeast" w:line="450" w:before="0" w:after="300"/>
        <w:ind w:firstLine="640"/>
        <w:jc w:val="center"/>
        <w:rPr>
          <w:rFonts w:ascii="黑体" w:hAnsi="黑体" w:eastAsia="黑体" w:cs="宋体"/>
          <w:b/>
          <w:b/>
          <w:sz w:val="32"/>
          <w:szCs w:val="32"/>
        </w:rPr>
      </w:pPr>
      <w:r>
        <w:rPr>
          <w:rFonts w:eastAsia="黑体" w:cs="宋体" w:ascii="黑体" w:hAnsi="黑体"/>
          <w:b/>
          <w:sz w:val="32"/>
          <w:szCs w:val="32"/>
        </w:rPr>
        <w:t>2018</w:t>
      </w:r>
      <w:r>
        <w:rPr>
          <w:rFonts w:ascii="黑体" w:hAnsi="黑体" w:cs="宋体" w:eastAsia="黑体"/>
          <w:b/>
          <w:sz w:val="32"/>
          <w:szCs w:val="32"/>
        </w:rPr>
        <w:t>年第十五届五一数学建模竞赛题目</w:t>
      </w:r>
    </w:p>
    <w:p>
      <w:pPr>
        <w:pStyle w:val="Normal"/>
        <w:snapToGrid w:val="false"/>
        <w:spacing w:lineRule="atLeast" w:line="240"/>
        <w:jc w:val="center"/>
        <w:rPr>
          <w:b/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4545965" cy="43815"/>
                <wp:effectExtent l="0" t="0" r="0" b="0"/>
                <wp:wrapNone/>
                <wp:docPr id="1" name="直接连接符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3060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4.4pt" to="509.95pt,6.75pt" ID="直接连接符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szCs w:val="21"/>
        </w:rPr>
      </w:pPr>
      <w:r>
        <w:rPr>
          <w:rFonts w:ascii="Times New Roman" w:hAnsi="Times New Roman"/>
          <w:b/>
          <w:sz w:val="30"/>
          <w:szCs w:val="30"/>
        </w:rPr>
        <w:t>B</w:t>
      </w:r>
      <w:r>
        <w:rPr>
          <w:rFonts w:ascii="Times New Roman" w:hAnsi="Times New Roman"/>
          <w:b/>
          <w:sz w:val="30"/>
          <w:szCs w:val="30"/>
        </w:rPr>
        <w:t>题 商业银行人民币贷款规模分配及盈利问题</w:t>
      </w:r>
    </w:p>
    <w:p>
      <w:pPr>
        <w:pStyle w:val="Normal"/>
        <w:spacing w:before="0" w:after="120"/>
        <w:ind w:firstLine="316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商业银行贷款投放的简单模型是：从客户端吸收存款，缴存法定准备金（法定准备金率：大型金融机构</w:t>
      </w:r>
      <w:r>
        <w:rPr>
          <w:rFonts w:ascii="宋体" w:hAnsi="宋体"/>
          <w:sz w:val="24"/>
          <w:szCs w:val="24"/>
        </w:rPr>
        <w:t>15.5%</w:t>
      </w:r>
      <w:r>
        <w:rPr>
          <w:rFonts w:ascii="宋体" w:hAnsi="宋体"/>
          <w:sz w:val="24"/>
          <w:szCs w:val="24"/>
        </w:rPr>
        <w:t>，中小金融机构</w:t>
      </w:r>
      <w:r>
        <w:rPr>
          <w:rFonts w:ascii="宋体" w:hAnsi="宋体"/>
          <w:sz w:val="24"/>
          <w:szCs w:val="24"/>
        </w:rPr>
        <w:t>12%</w:t>
      </w:r>
      <w:r>
        <w:rPr>
          <w:rFonts w:ascii="宋体" w:hAnsi="宋体"/>
          <w:sz w:val="24"/>
          <w:szCs w:val="24"/>
        </w:rPr>
        <w:t>；法定准备金利率</w:t>
      </w:r>
      <w:r>
        <w:rPr>
          <w:rFonts w:ascii="宋体" w:hAnsi="宋体"/>
          <w:sz w:val="24"/>
          <w:szCs w:val="24"/>
        </w:rPr>
        <w:t>1.62%</w:t>
      </w:r>
      <w:r>
        <w:rPr>
          <w:rFonts w:ascii="宋体" w:hAnsi="宋体"/>
          <w:sz w:val="24"/>
          <w:szCs w:val="24"/>
        </w:rPr>
        <w:t>），预留一定比例备付水平（商业银行承担支付结算金融中介作用，满足流动性安全），剩余资金用于贷款投放或其他资产配置。</w:t>
      </w:r>
    </w:p>
    <w:p>
      <w:pPr>
        <w:pStyle w:val="Normal"/>
        <w:spacing w:before="0" w:after="120"/>
        <w:ind w:firstLine="316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对商业银行而言，贷款规模增长受限于其存款规模增长，只有在存款有效增长的情况下银行才有充足资金用于贷款投放。具体来说，某家商业银行在全国存款总额中所占比例相对稳定，每年可增长的存款量受限于社会资金总量的增长情况。从经济指标上来看，社会存款增长与</w:t>
      </w:r>
      <w:r>
        <w:rPr>
          <w:rFonts w:ascii="宋体" w:hAnsi="宋体"/>
          <w:sz w:val="24"/>
          <w:szCs w:val="24"/>
        </w:rPr>
        <w:t>GDP</w: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/>
          <w:sz w:val="24"/>
          <w:szCs w:val="24"/>
        </w:rPr>
        <w:t>CPI</w:t>
      </w:r>
      <w:r>
        <w:rPr>
          <w:rFonts w:ascii="宋体" w:hAnsi="宋体"/>
          <w:sz w:val="24"/>
          <w:szCs w:val="24"/>
        </w:rPr>
        <w:t>、工业增加值等宏观经济指标密切相关（附件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为</w:t>
      </w:r>
      <w:r>
        <w:rPr>
          <w:rFonts w:ascii="宋体" w:hAnsi="宋体"/>
          <w:sz w:val="24"/>
          <w:szCs w:val="24"/>
        </w:rPr>
        <w:t>2010-2017</w:t>
      </w:r>
      <w:r>
        <w:rPr>
          <w:rFonts w:ascii="宋体" w:hAnsi="宋体"/>
          <w:sz w:val="24"/>
          <w:szCs w:val="24"/>
        </w:rPr>
        <w:t>宏观经济指标及</w:t>
      </w:r>
      <w:r>
        <w:rPr>
          <w:rFonts w:ascii="宋体" w:hAnsi="宋体"/>
          <w:sz w:val="24"/>
          <w:szCs w:val="24"/>
        </w:rPr>
        <w:t>2018</w:t>
      </w:r>
      <w:r>
        <w:rPr>
          <w:rFonts w:ascii="宋体" w:hAnsi="宋体"/>
          <w:sz w:val="24"/>
          <w:szCs w:val="24"/>
        </w:rPr>
        <w:t>年预测情况）。</w:t>
      </w:r>
    </w:p>
    <w:p>
      <w:pPr>
        <w:pStyle w:val="Normal"/>
        <w:spacing w:before="0" w:after="120"/>
        <w:ind w:firstLine="316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在贷款分配模式上，商业银行过去多采用年初预分配、全年限额管理模式，即年初一次性预分配全年规模至各家分行，年度内不再调增。该模式存在较多弊端，如未考虑全年实际可支配贷款规模、环境变化、需求变化等，效率低、弹性差。目前，商业银行多采用以存定贷、存贷结合、表内外协同、资产负债动态平衡模式，既要努力获取全行最大收益，也要平衡各区域发展差异，调动各单位展业积极性，同时也要对国家重大项目、重点政策、民生工程等倾斜扶持，支持实体经济有效发展。</w:t>
      </w:r>
    </w:p>
    <w:p>
      <w:pPr>
        <w:pStyle w:val="Normal"/>
        <w:spacing w:before="0" w:after="120"/>
        <w:ind w:firstLine="3168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现有某中型商业银行</w:t>
      </w: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，其各家省级分行近三年存贷款业务发展情况见附件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。请查阅相关文献和资料，在对商业银行经营模式有所掌握，对未来经济、利率、汇率等政策及趋势有充分了解和预判的基础上回答以下问题。</w:t>
      </w:r>
    </w:p>
    <w:p>
      <w:pPr>
        <w:pStyle w:val="ListParagraph"/>
        <w:numPr>
          <w:ilvl w:val="0"/>
          <w:numId w:val="1"/>
        </w:numPr>
        <w:spacing w:before="0" w:after="1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假设该银行除客户存款外无其他资金来源，且暂不考虑备付水平。请根据附件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商业银行</w:t>
      </w: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各项存贷款历史数据及附件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宏观经济指标历史数据，建立数学模型，预测该银行</w:t>
      </w:r>
      <w:r>
        <w:rPr>
          <w:rFonts w:ascii="宋体" w:hAnsi="宋体"/>
          <w:sz w:val="24"/>
          <w:szCs w:val="24"/>
        </w:rPr>
        <w:t>2018</w:t>
      </w:r>
      <w:r>
        <w:rPr>
          <w:rFonts w:ascii="宋体" w:hAnsi="宋体"/>
          <w:sz w:val="24"/>
          <w:szCs w:val="24"/>
        </w:rPr>
        <w:t>年存、贷款增量情况。</w:t>
      </w:r>
    </w:p>
    <w:p>
      <w:pPr>
        <w:pStyle w:val="ListParagraph"/>
        <w:numPr>
          <w:ilvl w:val="0"/>
          <w:numId w:val="1"/>
        </w:numPr>
        <w:spacing w:before="0" w:after="1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假设该银行除客户存款外无其他资金来源，且暂不考虑备付水平。请根据问题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预测的结果并结合附件</w:t>
      </w:r>
      <w:r>
        <w:rPr>
          <w:rFonts w:ascii="宋体" w:hAnsi="宋体"/>
          <w:sz w:val="24"/>
          <w:szCs w:val="24"/>
        </w:rPr>
        <w:t>3</w:t>
      </w:r>
      <w:r>
        <w:rPr>
          <w:rFonts w:ascii="宋体" w:hAnsi="宋体"/>
          <w:sz w:val="24"/>
          <w:szCs w:val="24"/>
        </w:rPr>
        <w:t>相关数据，建立数学模型，给出</w:t>
      </w:r>
      <w:r>
        <w:rPr>
          <w:rFonts w:ascii="宋体" w:hAnsi="宋体"/>
          <w:sz w:val="24"/>
          <w:szCs w:val="24"/>
        </w:rPr>
        <w:t>2018</w:t>
      </w:r>
      <w:r>
        <w:rPr>
          <w:rFonts w:ascii="宋体" w:hAnsi="宋体"/>
          <w:sz w:val="24"/>
          <w:szCs w:val="24"/>
        </w:rPr>
        <w:t>年商业银行</w:t>
      </w:r>
      <w:r>
        <w:rPr>
          <w:rFonts w:ascii="宋体" w:hAnsi="宋体"/>
          <w:sz w:val="24"/>
          <w:szCs w:val="24"/>
        </w:rPr>
        <w:t xml:space="preserve">A </w:t>
      </w:r>
      <w:r>
        <w:rPr>
          <w:rFonts w:ascii="宋体" w:hAnsi="宋体"/>
          <w:sz w:val="24"/>
          <w:szCs w:val="24"/>
        </w:rPr>
        <w:t>各分行贷款规模的分配方案，使得全行增量存贷款利息净收入最大，并将该分配方案填入表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。</w:t>
      </w:r>
    </w:p>
    <w:p>
      <w:pPr>
        <w:pStyle w:val="ListParagraph"/>
        <w:numPr>
          <w:ilvl w:val="0"/>
          <w:numId w:val="1"/>
        </w:numPr>
        <w:spacing w:before="0" w:after="1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若商业银行</w:t>
      </w: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将于</w:t>
      </w:r>
      <w:r>
        <w:rPr>
          <w:rFonts w:ascii="宋体" w:hAnsi="宋体"/>
          <w:sz w:val="24"/>
          <w:szCs w:val="24"/>
        </w:rPr>
        <w:t>2018</w:t>
      </w:r>
      <w:r>
        <w:rPr>
          <w:rFonts w:ascii="宋体" w:hAnsi="宋体"/>
          <w:sz w:val="24"/>
          <w:szCs w:val="24"/>
        </w:rPr>
        <w:t>年</w:t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t>月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日发行</w:t>
      </w:r>
      <w:r>
        <w:rPr>
          <w:rFonts w:ascii="宋体" w:hAnsi="宋体"/>
          <w:sz w:val="24"/>
          <w:szCs w:val="24"/>
        </w:rPr>
        <w:t>500</w:t>
      </w:r>
      <w:r>
        <w:rPr>
          <w:rFonts w:ascii="宋体" w:hAnsi="宋体"/>
          <w:sz w:val="24"/>
          <w:szCs w:val="24"/>
        </w:rPr>
        <w:t>亿规模的</w:t>
      </w:r>
      <w:r>
        <w:rPr>
          <w:rFonts w:ascii="宋体" w:hAnsi="宋体"/>
          <w:sz w:val="24"/>
          <w:szCs w:val="24"/>
        </w:rPr>
        <w:t>15</w:t>
      </w:r>
      <w:r>
        <w:rPr>
          <w:rFonts w:ascii="宋体" w:hAnsi="宋体"/>
          <w:sz w:val="24"/>
          <w:szCs w:val="24"/>
        </w:rPr>
        <w:t>年期商业银行普通债（利率约为</w:t>
      </w:r>
      <w:r>
        <w:rPr>
          <w:rFonts w:ascii="宋体" w:hAnsi="宋体"/>
          <w:sz w:val="24"/>
          <w:szCs w:val="24"/>
        </w:rPr>
        <w:t>5.1%</w:t>
      </w:r>
      <w:r>
        <w:rPr>
          <w:rFonts w:ascii="宋体" w:hAnsi="宋体"/>
          <w:sz w:val="24"/>
          <w:szCs w:val="24"/>
        </w:rPr>
        <w:t>），请结合该条件对问题</w:t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t>进一步优化，暂不考虑备付水平情况下，重新设计商业银行</w:t>
      </w: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各分行贷款规模的分配方案，使得全行增量存贷款利息净收入最大，并将该分配方案填入表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。</w:t>
      </w:r>
    </w:p>
    <w:p>
      <w:pPr>
        <w:pStyle w:val="ListParagraph"/>
        <w:numPr>
          <w:ilvl w:val="0"/>
          <w:numId w:val="1"/>
        </w:numPr>
        <w:spacing w:before="0" w:after="1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为保证每日交易正常进行，各家分行每日需预留一定的备付资金（备付资金不足易引起客户不满，严重的会引起社会恐慌，引发挤兑；预留资金过多，会降低银行盈利水平），以确保最低的备付水平（备付水平</w:t>
      </w:r>
      <w:r>
        <w:rPr>
          <w:rFonts w:ascii="宋体" w:hAnsi="宋体"/>
          <w:sz w:val="24"/>
          <w:szCs w:val="24"/>
        </w:rPr>
        <w:t>=</w:t>
      </w:r>
      <w:r>
        <w:rPr>
          <w:rFonts w:ascii="宋体" w:hAnsi="宋体"/>
          <w:sz w:val="24"/>
          <w:szCs w:val="24"/>
        </w:rPr>
        <w:t>备付资金</w:t>
      </w:r>
      <w:r>
        <w:rPr>
          <w:rFonts w:ascii="宋体" w:hAnsi="宋体"/>
          <w:sz w:val="24"/>
          <w:szCs w:val="24"/>
        </w:rPr>
        <w:t>÷</w:t>
      </w:r>
      <w:r>
        <w:rPr>
          <w:rFonts w:ascii="宋体" w:hAnsi="宋体"/>
          <w:sz w:val="24"/>
          <w:szCs w:val="24"/>
        </w:rPr>
        <w:t>存款余额）。假设每个客户存取款的行为是随机的，请根据附件</w:t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t>各分行</w:t>
      </w:r>
      <w:r>
        <w:rPr>
          <w:rFonts w:ascii="宋体" w:hAnsi="宋体"/>
          <w:sz w:val="24"/>
          <w:szCs w:val="24"/>
        </w:rPr>
        <w:t>2017</w:t>
      </w:r>
      <w:r>
        <w:rPr>
          <w:rFonts w:ascii="宋体" w:hAnsi="宋体"/>
          <w:sz w:val="24"/>
          <w:szCs w:val="24"/>
        </w:rPr>
        <w:t>年每日存取款交易数据，建立数学模型，计算在置信水平</w:t>
      </w:r>
      <w:r>
        <w:rPr>
          <w:rFonts w:ascii="宋体" w:hAnsi="宋体"/>
          <w:sz w:val="24"/>
          <w:szCs w:val="24"/>
        </w:rPr>
        <w:t>99%</w:t>
      </w:r>
      <w:r>
        <w:rPr>
          <w:rFonts w:ascii="宋体" w:hAnsi="宋体"/>
          <w:sz w:val="24"/>
          <w:szCs w:val="24"/>
        </w:rPr>
        <w:t>的情况下，</w:t>
      </w:r>
      <w:r>
        <w:rPr>
          <w:rFonts w:ascii="宋体" w:hAnsi="宋体"/>
          <w:sz w:val="24"/>
          <w:szCs w:val="24"/>
        </w:rPr>
        <w:t>2018</w:t>
      </w:r>
      <w:r>
        <w:rPr>
          <w:rFonts w:ascii="宋体" w:hAnsi="宋体"/>
          <w:sz w:val="24"/>
          <w:szCs w:val="24"/>
        </w:rPr>
        <w:t>年商业银行</w:t>
      </w: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各分行日常经营所需最低备付金额，并将结果填入表</w:t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。</w:t>
      </w:r>
    </w:p>
    <w:p>
      <w:pPr>
        <w:pStyle w:val="ListParagraph"/>
        <w:numPr>
          <w:ilvl w:val="0"/>
          <w:numId w:val="1"/>
        </w:numPr>
        <w:spacing w:before="0" w:after="12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在贷款规模分配问题上，为了帮助商业银行</w:t>
      </w:r>
      <w:r>
        <w:rPr>
          <w:rFonts w:ascii="宋体" w:hAnsi="宋体"/>
          <w:sz w:val="24"/>
          <w:szCs w:val="24"/>
        </w:rPr>
        <w:t>A</w:t>
      </w:r>
      <w:r>
        <w:rPr>
          <w:rFonts w:ascii="宋体" w:hAnsi="宋体"/>
          <w:sz w:val="24"/>
          <w:szCs w:val="24"/>
        </w:rPr>
        <w:t>处理好收益与风险、企业经营与国际政策导向，区域化差异与分行公平考核等之间的关系，以期达到双赢或多赢，请对以上模型进行改进，并给出相关建议。</w:t>
      </w:r>
    </w:p>
    <w:p>
      <w:pPr>
        <w:pStyle w:val="Normal"/>
        <w:spacing w:before="0" w:after="120"/>
        <w:rPr>
          <w:rFonts w:ascii="Times New Roman" w:hAnsi="Times New Roman"/>
          <w:sz w:val="28"/>
          <w:szCs w:val="28"/>
        </w:rPr>
      </w:pPr>
      <w:r>
        <w:rPr>
          <w:rFonts w:ascii="宋体" w:hAnsi="宋体"/>
          <w:sz w:val="24"/>
          <w:szCs w:val="24"/>
        </w:rPr>
        <w:t>注：</w:t>
      </w:r>
      <w:bookmarkStart w:id="0" w:name="_GoBack"/>
      <w:bookmarkEnd w:id="0"/>
      <w:r>
        <w:rPr>
          <w:rFonts w:ascii="宋体" w:hAnsi="宋体"/>
          <w:sz w:val="24"/>
          <w:szCs w:val="24"/>
        </w:rPr>
        <w:t>所有数据均为假设数据。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表</w:t>
      </w:r>
      <w:r>
        <w:rPr>
          <w:rFonts w:ascii="Times New Roman" w:hAnsi="Times New Roman"/>
          <w:sz w:val="28"/>
          <w:szCs w:val="28"/>
        </w:rPr>
        <w:t>1</w:t>
      </w:r>
    </w:p>
    <w:tbl>
      <w:tblPr>
        <w:tblW w:w="9879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a0"/>
      </w:tblPr>
      <w:tblGrid>
        <w:gridCol w:w="1660"/>
        <w:gridCol w:w="1270"/>
        <w:gridCol w:w="1"/>
        <w:gridCol w:w="2270"/>
        <w:gridCol w:w="1"/>
        <w:gridCol w:w="2264"/>
        <w:gridCol w:w="1"/>
        <w:gridCol w:w="2412"/>
      </w:tblGrid>
      <w:tr>
        <w:trPr>
          <w:trHeight w:val="340" w:hRule="exact"/>
        </w:trPr>
        <w:tc>
          <w:tcPr>
            <w:tcW w:w="293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单位：亿元</w:t>
            </w:r>
          </w:p>
        </w:tc>
        <w:tc>
          <w:tcPr>
            <w:tcW w:w="2271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问题</w:t>
            </w: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2</w:t>
            </w:r>
          </w:p>
        </w:tc>
        <w:tc>
          <w:tcPr>
            <w:tcW w:w="2265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问题</w:t>
            </w: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3</w:t>
            </w:r>
          </w:p>
        </w:tc>
        <w:tc>
          <w:tcPr>
            <w:tcW w:w="2412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问题</w:t>
            </w: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4</w:t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12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分行</w:t>
            </w:r>
          </w:p>
        </w:tc>
        <w:tc>
          <w:tcPr>
            <w:tcW w:w="2271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贷款规模分配方案</w:t>
            </w:r>
          </w:p>
        </w:tc>
        <w:tc>
          <w:tcPr>
            <w:tcW w:w="2265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贷款规模分配方案</w:t>
            </w:r>
          </w:p>
        </w:tc>
        <w:tc>
          <w:tcPr>
            <w:tcW w:w="2413" w:type="dxa"/>
            <w:gridSpan w:val="2"/>
            <w:tcBorders>
              <w:top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/>
                <w:b/>
                <w:bCs/>
                <w:color w:val="000000"/>
                <w:szCs w:val="21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>2018</w:t>
            </w:r>
            <w:r>
              <w:rPr>
                <w:rFonts w:ascii="Times New Roman" w:hAnsi="Times New Roman"/>
                <w:b/>
                <w:bCs/>
                <w:color w:val="000000"/>
                <w:szCs w:val="21"/>
              </w:rPr>
              <w:t xml:space="preserve">年备付资金      </w:t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北京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江苏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广东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浙江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上海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山东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河南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湖北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安徽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四川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辽宁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河北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重庆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湖南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山西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陕西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天津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广西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吉林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云南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福建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江西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黑龙江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新疆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贵州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甘肃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海南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内蒙古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宁夏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16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30</w:t>
            </w:r>
          </w:p>
        </w:tc>
        <w:tc>
          <w:tcPr>
            <w:tcW w:w="1270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青海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　</w:t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3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340" w:hRule="exact"/>
        </w:trPr>
        <w:tc>
          <w:tcPr>
            <w:tcW w:w="2931" w:type="dxa"/>
            <w:gridSpan w:val="3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/>
              <w:jc w:val="center"/>
              <w:rPr>
                <w:rFonts w:ascii="Times New Roman" w:hAnsi="Times New Roman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全行合计</w:t>
            </w:r>
          </w:p>
        </w:tc>
        <w:tc>
          <w:tcPr>
            <w:tcW w:w="2271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vAlign w:val="cente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265" w:type="dxa"/>
            <w:gridSpan w:val="2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2412" w:type="dxa"/>
            <w:tcBorders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851" w:right="851" w:header="0" w:top="1440" w:footer="992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黑体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jc w:val="center"/>
      <w:rPr/>
    </w:pPr>
    <w:r>
      <w:rPr>
        <w:sz w:val="24"/>
        <w:szCs w:val="24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4"/>
        <w:rFonts w:ascii="宋体" w:hAnsi="宋体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61d8f"/>
    <w:pPr>
      <w:widowControl w:val="false"/>
      <w:bidi w:val="0"/>
      <w:jc w:val="both"/>
    </w:pPr>
    <w:rPr>
      <w:rFonts w:ascii="Calibri" w:hAnsi="Calibri" w:eastAsia="宋体" w:cs="Times New Roman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99"/>
    <w:semiHidden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99542b"/>
    <w:rPr>
      <w:rFonts w:ascii="Calibri" w:hAnsi="Calibri"/>
      <w:sz w:val="18"/>
      <w:szCs w:val="18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99542b"/>
    <w:rPr>
      <w:rFonts w:ascii="Calibri" w:hAnsi="Calibri"/>
      <w:sz w:val="18"/>
      <w:szCs w:val="18"/>
    </w:rPr>
  </w:style>
  <w:style w:type="character" w:styleId="Internet">
    <w:name w:val="Internet 链接"/>
    <w:basedOn w:val="DefaultParagraphFont"/>
    <w:uiPriority w:val="99"/>
    <w:rsid w:val="00c61d8f"/>
    <w:rPr>
      <w:rFonts w:cs="Times New Roman"/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9542b"/>
    <w:rPr>
      <w:rFonts w:ascii="Calibri" w:hAnsi="Calibri"/>
      <w:sz w:val="0"/>
      <w:szCs w:val="0"/>
    </w:rPr>
  </w:style>
  <w:style w:type="character" w:styleId="Appleconvertedspace" w:customStyle="1">
    <w:name w:val="apple-converted-space"/>
    <w:basedOn w:val="DefaultParagraphFont"/>
    <w:uiPriority w:val="99"/>
    <w:qFormat/>
    <w:rsid w:val="008c5cc6"/>
    <w:rPr>
      <w:rFonts w:cs="Times New Roman"/>
    </w:rPr>
  </w:style>
  <w:style w:type="character" w:styleId="ListLabel1">
    <w:name w:val="ListLabel 1"/>
    <w:qFormat/>
    <w:rPr>
      <w:rFonts w:ascii="宋体" w:hAnsi="宋体" w:cs="Times New Roman"/>
      <w:sz w:val="24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1" w:customStyle="1">
    <w:name w:val="列出段落1"/>
    <w:basedOn w:val="Normal"/>
    <w:uiPriority w:val="99"/>
    <w:qFormat/>
    <w:rsid w:val="00c61d8f"/>
    <w:pPr>
      <w:ind w:firstLine="200"/>
    </w:pPr>
    <w:rPr/>
  </w:style>
  <w:style w:type="paragraph" w:styleId="Style19">
    <w:name w:val="Header"/>
    <w:basedOn w:val="Normal"/>
    <w:link w:val="HeaderChar"/>
    <w:uiPriority w:val="99"/>
    <w:rsid w:val="00c61d8f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0">
    <w:name w:val="Footer"/>
    <w:basedOn w:val="Normal"/>
    <w:link w:val="FooterChar"/>
    <w:uiPriority w:val="99"/>
    <w:rsid w:val="00c61d8f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Readerwordlayer" w:customStyle="1">
    <w:name w:val="reader-word-layer"/>
    <w:basedOn w:val="Normal"/>
    <w:uiPriority w:val="99"/>
    <w:qFormat/>
    <w:rsid w:val="00c61d8f"/>
    <w:pPr>
      <w:widowControl/>
      <w:spacing w:beforeAutospacing="1" w:afterAutospacing="1"/>
      <w:jc w:val="left"/>
    </w:pPr>
    <w:rPr>
      <w:rFonts w:ascii="宋体" w:hAnsi="宋体" w:cs="宋体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qFormat/>
    <w:rsid w:val="00c61d8f"/>
    <w:pPr/>
    <w:rPr>
      <w:sz w:val="18"/>
      <w:szCs w:val="18"/>
    </w:rPr>
  </w:style>
  <w:style w:type="paragraph" w:styleId="NormalWeb">
    <w:name w:val="Normal (Web)"/>
    <w:basedOn w:val="Normal"/>
    <w:uiPriority w:val="99"/>
    <w:qFormat/>
    <w:rsid w:val="00024204"/>
    <w:pPr>
      <w:jc w:val="left"/>
    </w:pPr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ed314a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35</TotalTime>
  <Application>LibreOffice/5.1.6.2$Linux_X86_64 LibreOffice_project/10m0$Build-2</Application>
  <Pages>2</Pages>
  <Words>254</Words>
  <CharactersWithSpaces>1450</CharactersWithSpaces>
  <Paragraphs>0</Paragraphs>
  <Company>BOCOM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2018-04-24T01:00:00Z</dcterms:created>
  <dc:creator/>
  <dc:description/>
  <dc:language>zh-CN</dc:language>
  <cp:lastModifiedBy>微软中国</cp:lastModifiedBy>
  <dcterms:modified xsi:type="dcterms:W3CDTF">2018-04-28T15:13:00Z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BOCOM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