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993"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096"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蔡顺哲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2020.03.07</w:t>
            </w:r>
          </w:p>
        </w:tc>
        <w:tc>
          <w:tcPr>
            <w:tcW w:w="993"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1096"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Watts as a First Class Parameter for Peak-Power Aware Resource Allocation in Apache Mesos  Managed Clouds  (IPDPS)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Xiongchao Tang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Haojie Wang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Xiaosong Ma</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Nosayba El-Sayed</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Jidong Zhai</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Wenguang Chen</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Ashraf Aboulnaga</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w:t>
            </w:r>
            <w:r>
              <w:rPr>
                <w:rFonts w:hint="default" w:ascii="Times New Roman" w:hAnsi="Times New Roman" w:eastAsia="宋体" w:cs="Times New Roman"/>
                <w:b w:val="0"/>
                <w:bCs w:val="0"/>
                <w:i w:val="0"/>
                <w:iCs w:val="0"/>
                <w:caps w:val="0"/>
                <w:color w:val="auto"/>
                <w:spacing w:val="0"/>
                <w:sz w:val="21"/>
                <w:szCs w:val="21"/>
                <w:highlight w:val="none"/>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SC 2019</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2019.12.28</w:t>
            </w:r>
            <w:r>
              <w:rPr>
                <w:rFonts w:hint="default" w:ascii="Times New Roman" w:hAnsi="Times New Roman" w:eastAsia="宋体" w:cs="Times New Roman"/>
                <w:b w:val="0"/>
                <w:bCs w:val="0"/>
                <w:i w:val="0"/>
                <w:iCs w:val="0"/>
                <w:color w:val="auto"/>
                <w:sz w:val="21"/>
                <w:szCs w:val="21"/>
                <w:highlight w:val="none"/>
                <w:vertAlign w:val="baseline"/>
                <w:lang w:val="en-US" w:eastAsia="zh-CN"/>
              </w:rPr>
              <w:br w:type="textWrapping"/>
            </w: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imes New Roman"/>
                <w:b w:val="0"/>
                <w:bCs w:val="0"/>
                <w:i w:val="0"/>
                <w:iCs w:val="0"/>
                <w:caps w:val="0"/>
                <w:color w:val="auto"/>
                <w:spacing w:val="0"/>
                <w:sz w:val="21"/>
                <w:szCs w:val="21"/>
                <w:highlight w:val="none"/>
                <w:u w:val="none"/>
              </w:rPr>
              <w:t>ACM Comput. Surv.</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50, 3, Article 37 (June 2017), 38 pages. DOI: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instrText xml:space="preserve"> HYPERLINK "https://doi.org/10.1145/3078811" </w:instrTex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shd w:val="clear" w:fill="FFFFFF"/>
              </w:rPr>
              <w:t>https://doi.org/10.1145/3078811</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Basmadjian, Robert, Ali, Nasir, Niedermeier, Florian,</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 xml:space="preserve"> e</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aps w:val="0"/>
                <w:color w:val="auto"/>
                <w:spacing w:val="0"/>
                <w:sz w:val="21"/>
                <w:szCs w:val="21"/>
                <w:highlight w:val="none"/>
                <w:u w:val="none"/>
                <w:shd w:val="clear" w:fill="FFFFFF"/>
                <w:lang w:val="en-US"/>
              </w:rPr>
            </w:pPr>
            <w:r>
              <w:rPr>
                <w:rFonts w:hint="default" w:ascii="Times New Roman" w:hAnsi="Times New Roman" w:eastAsia="宋体" w:cs="Times New Roman"/>
                <w:b w:val="0"/>
                <w:bCs/>
                <w:i w:val="0"/>
                <w:iCs w:val="0"/>
                <w:color w:val="auto"/>
                <w:kern w:val="0"/>
                <w:sz w:val="21"/>
                <w:szCs w:val="21"/>
                <w:highlight w:val="none"/>
                <w:lang w:val="en-US" w:eastAsia="zh-CN" w:bidi="ar"/>
              </w:rPr>
              <w:t>An accelerating solution for optimizing containerized High-Performance LINPACK of different heterogeneous systems.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793-804.</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color="auto" w:fill="auto"/>
                <w:lang w:val="en-US" w:eastAsia="zh-CN"/>
              </w:rPr>
            </w:pPr>
            <w:r>
              <w:rPr>
                <w:rFonts w:hint="default" w:ascii="Times New Roman" w:hAnsi="Times New Roman" w:eastAsia="宋体" w:cs="Times New Roman"/>
                <w:b w:val="0"/>
                <w:bCs/>
                <w:i w:val="0"/>
                <w:iCs w:val="0"/>
                <w:color w:val="auto"/>
                <w:kern w:val="0"/>
                <w:sz w:val="21"/>
                <w:szCs w:val="21"/>
                <w:highlight w:val="none"/>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spacing w:line="0" w:lineRule="atLeast"/>
              <w:rPr>
                <w:rFonts w:hint="default" w:ascii="Times New Roman" w:hAnsi="Times New Roman" w:eastAsia="宋体" w:cs="Times New Roman"/>
                <w:color w:val="auto"/>
                <w:sz w:val="21"/>
                <w:szCs w:val="21"/>
                <w:highlight w:val="none"/>
              </w:rPr>
            </w:pPr>
            <w:r>
              <w:rPr>
                <w:rFonts w:hint="default" w:ascii="Times New Roman" w:hAnsi="Times New Roman" w:eastAsia="宋体" w:cs="Times New Roman"/>
                <w:color w:val="auto"/>
                <w:sz w:val="21"/>
                <w:szCs w:val="21"/>
                <w:highlight w:val="none"/>
              </w:rPr>
              <w:t>Power Modeling for Phytium FT-2000+/64 Multi-core</w:t>
            </w:r>
          </w:p>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color w:val="auto"/>
                <w:sz w:val="21"/>
                <w:szCs w:val="21"/>
                <w:highlight w:val="none"/>
              </w:rPr>
              <w:t>Architecture</w:t>
            </w:r>
            <w:r>
              <w:rPr>
                <w:rFonts w:hint="default" w:ascii="Times New Roman" w:hAnsi="Times New Roman" w:eastAsia="宋体" w:cs="Times New Roman"/>
                <w:color w:val="auto"/>
                <w:sz w:val="21"/>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rPr>
            </w:pPr>
            <w:r>
              <w:rPr>
                <w:rFonts w:hint="default" w:ascii="Times New Roman" w:hAnsi="Times New Roman" w:eastAsia="宋体" w:cs="Times New Roman"/>
                <w:i w:val="0"/>
                <w:caps w:val="0"/>
                <w:color w:val="auto"/>
                <w:spacing w:val="0"/>
                <w:sz w:val="21"/>
                <w:szCs w:val="21"/>
                <w:highlight w:val="none"/>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caps w:val="0"/>
                <w:color w:val="auto"/>
                <w:spacing w:val="0"/>
                <w:sz w:val="21"/>
                <w:szCs w:val="21"/>
                <w:highlight w:val="none"/>
                <w:u w:val="single"/>
              </w:rPr>
              <w:fldChar w:fldCharType="begin"/>
            </w:r>
            <w:r>
              <w:rPr>
                <w:rFonts w:hint="default" w:ascii="Times New Roman" w:hAnsi="Times New Roman" w:eastAsia="宋体" w:cs="Times New Roman"/>
                <w:i w:val="0"/>
                <w:caps w:val="0"/>
                <w:color w:val="auto"/>
                <w:spacing w:val="0"/>
                <w:sz w:val="21"/>
                <w:szCs w:val="21"/>
                <w:highlight w:val="none"/>
                <w:u w:val="single"/>
              </w:rPr>
              <w:instrText xml:space="preserve"> HYPERLINK "https://dblp.uni-trier.de/pers/hd/c/Chen:Donglin" </w:instrText>
            </w:r>
            <w:r>
              <w:rPr>
                <w:rFonts w:hint="default" w:ascii="Times New Roman" w:hAnsi="Times New Roman" w:eastAsia="宋体" w:cs="Times New Roman"/>
                <w:i w:val="0"/>
                <w:caps w:val="0"/>
                <w:color w:val="auto"/>
                <w:spacing w:val="0"/>
                <w:sz w:val="21"/>
                <w:szCs w:val="21"/>
                <w:highlight w:val="none"/>
                <w:u w:val="single"/>
              </w:rPr>
              <w:fldChar w:fldCharType="separate"/>
            </w:r>
            <w:r>
              <w:rPr>
                <w:rStyle w:val="8"/>
                <w:rFonts w:hint="default" w:ascii="Times New Roman" w:hAnsi="Times New Roman" w:eastAsia="宋体" w:cs="Times New Roman"/>
                <w:i w:val="0"/>
                <w:caps w:val="0"/>
                <w:color w:val="auto"/>
                <w:spacing w:val="0"/>
                <w:sz w:val="21"/>
                <w:szCs w:val="21"/>
                <w:highlight w:val="none"/>
                <w:u w:val="single"/>
              </w:rPr>
              <w:t>Donglin Chen</w:t>
            </w:r>
            <w:r>
              <w:rPr>
                <w:rFonts w:hint="default" w:ascii="Times New Roman" w:hAnsi="Times New Roman" w:eastAsia="宋体" w:cs="Times New Roman"/>
                <w:i w:val="0"/>
                <w:caps w:val="0"/>
                <w:color w:val="auto"/>
                <w:spacing w:val="0"/>
                <w:sz w:val="21"/>
                <w:szCs w:val="21"/>
                <w:highlight w:val="none"/>
                <w:u w:val="singl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"https://dblp.uni-trier.de/pers/hd/f/Fang:Jianbin"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Jianbin Fang</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"https://dblp.uni-trier.de/pers/hd/x/Xu:Chuanfu"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Chuanfu Xu</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"https://dblp.uni-trier.de/pers/hd/c/Chen:Shizhao"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Shizhao Chen</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Zheng Wang</w:t>
            </w:r>
            <w:r>
              <w:rPr>
                <w:rFonts w:hint="default" w:ascii="Times New Roman" w:hAnsi="Times New Roman" w:eastAsia="宋体" w:cs="Times New Roman"/>
                <w:i w:val="0"/>
                <w:caps w:val="0"/>
                <w:color w:val="auto"/>
                <w:spacing w:val="0"/>
                <w:sz w:val="21"/>
                <w:szCs w:val="21"/>
                <w:highlight w:val="none"/>
                <w:u w:val="none"/>
                <w:lang w:val="en-US" w:eastAsia="zh-CN"/>
              </w:rPr>
              <w:t xml:space="preserve">. </w:t>
            </w:r>
            <w:r>
              <w:rPr>
                <w:rFonts w:hint="default" w:ascii="Times New Roman" w:hAnsi="Times New Roman" w:eastAsia="宋体" w:cs="Times New Roman"/>
                <w:b/>
                <w:i w:val="0"/>
                <w:caps w:val="0"/>
                <w:color w:val="auto"/>
                <w:spacing w:val="0"/>
                <w:sz w:val="21"/>
                <w:szCs w:val="21"/>
                <w:highlight w:val="none"/>
                <w:u w:val="none"/>
              </w:rPr>
              <w:t>Characterizing Scalability of Sparse Matrix-Vector Multiplications on Phytium FT-2000+.</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"https://dblp.uni-trier.de/db/journals/ijpp/ijpp48.html" \l "ChenFXCW20"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International Journal of Parallel Programming 48(1)</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80-97</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2020</w:t>
            </w:r>
            <w:r>
              <w:rPr>
                <w:rFonts w:hint="default" w:ascii="Times New Roman" w:hAnsi="Times New Roman" w:eastAsia="宋体" w:cs="Times New Roman"/>
                <w:caps w:val="0"/>
                <w:color w:val="auto"/>
                <w:spacing w:val="0"/>
                <w:sz w:val="21"/>
                <w:szCs w:val="21"/>
                <w:highlight w:val="none"/>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Tang Z , Wang Y , Wang Q , et al. The Impact of GPU DVFS on the Energy and Performance of Deep Learning: an Empirical Study[J]. 2019.</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Ge R , Vogt R , Majumder J , et al. Effects of Dynamic Voltage and Frequency Scaling on a K20 GPU[C]// Parallel Processing (ICPP), 2013 42nd International Conference on. IEEE, 2013.</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阅读</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von Kistowski, Jóakim &amp; Grohmann, Johannes &amp; Schmitt, Norbert &amp; Kounev, Samuel. (2019). Predicting Server Power Consumption from Standard Rating Results. 10.1145/3297663.3310298.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5" w:name="OLE_LINK7"/>
            <w:r>
              <w:rPr>
                <w:rFonts w:hint="default" w:ascii="Times New Roman" w:hAnsi="Times New Roman" w:eastAsia="宋体" w:cs="Times New Roman"/>
                <w:i w:val="0"/>
                <w:iCs w:val="0"/>
                <w:caps w:val="0"/>
                <w:color w:val="auto"/>
                <w:spacing w:val="0"/>
                <w:sz w:val="21"/>
                <w:szCs w:val="21"/>
                <w:highlight w:val="none"/>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Marco VS, Taylor B, Wang Z, Elkhatib Y. 2020. Optimizing Deep Learning Inference on Embedded Systems Through Adaptive Model Selection. ACM Transactions on Embedded Computing Systems. 19(1)</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Zhang, Huazhe &amp; Hoffmann, Henry. (2019). PoDD: power-capping dependent distributed applications. 1-23. 10.1145/3295500.3356174.（汇报）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Imes, Connor &amp; Zhang, Huazhe &amp; Zhao, Kevin &amp; Hoffmann, Henry. (2019). CoPPer: Soft Real-Time Application Performance Using Hardware Power Capping. 31-41. 10.1109/ICAC.2019.00015.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阅读</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微软雅黑" w:cs="Times New Roman"/>
                <w:i w:val="0"/>
                <w:iCs w:val="0"/>
                <w:caps w:val="0"/>
                <w:color w:val="auto"/>
                <w:spacing w:val="0"/>
                <w:sz w:val="21"/>
                <w:szCs w:val="21"/>
                <w:highlight w:val="none"/>
                <w:u w:val="none"/>
                <w:shd w:val="clear" w:fill="FFFFFF"/>
                <w:lang w:eastAsia="zh-CN"/>
              </w:rPr>
            </w:pPr>
            <w:r>
              <w:rPr>
                <w:rFonts w:hint="default" w:ascii="Times New Roman" w:hAnsi="Times New Roman" w:eastAsia="微软雅黑" w:cs="Times New Roman"/>
                <w:i w:val="0"/>
                <w:caps w:val="0"/>
                <w:color w:val="000000"/>
                <w:spacing w:val="0"/>
                <w:sz w:val="21"/>
                <w:szCs w:val="21"/>
                <w:highlight w:val="none"/>
                <w:u w:val="none"/>
                <w:shd w:val="clear" w:fill="FFFFFF"/>
              </w:rPr>
              <w:t>Peng Y , Bao Y , Chen Y , et al. Optimus: An Efficient Dynamic Resource Scheduler for Deep Learning Clusters[J]. 2018.</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r>
              <w:rPr>
                <w:rFonts w:hint="default" w:ascii="Times New Roman" w:hAnsi="Times New Roman" w:eastAsia="微软雅黑"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6" w:name="OLE_LINK11"/>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Wang, Shu &amp; Li, Chi &amp; Hoffmann, Henry &amp; Lu, Shan &amp; Sentosa, William &amp; Kistijantoro, Achmad Imam. (2018). </w:t>
            </w:r>
            <w:bookmarkStart w:id="7" w:name="OLE_LINK13"/>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Understanding and Auto-Adjusting Performance-Sensitive Configurations. </w:t>
            </w:r>
            <w:bookmarkEnd w:id="7"/>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ACM SIGPLAN Notices. 53. 154-168. 10.1145/3296957.3173206. </w:t>
            </w:r>
          </w:p>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8" w:name="OLE_LINK12"/>
            <w:r>
              <w:rPr>
                <w:rFonts w:hint="default" w:ascii="Times New Roman" w:hAnsi="Times New Roman" w:eastAsia="宋体" w:cs="Times New Roman"/>
                <w:i w:val="0"/>
                <w:caps w:val="0"/>
                <w:color w:val="000000"/>
                <w:spacing w:val="0"/>
                <w:sz w:val="21"/>
                <w:szCs w:val="21"/>
                <w:highlight w:val="none"/>
                <w:u w:val="none"/>
                <w:shd w:val="clear" w:fill="FFFFFF"/>
              </w:rPr>
              <w:t xml:space="preserve">Imes C , Hofmeyr S , Hoffmann H . [ACM Press the 47th International Conference - Eugene, OR, USA (2018.08.13-2018.08.16)] Proceedings of the 47th International </w:t>
            </w:r>
            <w:bookmarkEnd w:id="6"/>
            <w:r>
              <w:rPr>
                <w:rFonts w:hint="default" w:ascii="Times New Roman" w:hAnsi="Times New Roman" w:eastAsia="宋体" w:cs="Times New Roman"/>
                <w:i w:val="0"/>
                <w:caps w:val="0"/>
                <w:color w:val="000000"/>
                <w:spacing w:val="0"/>
                <w:sz w:val="21"/>
                <w:szCs w:val="21"/>
                <w:highlight w:val="none"/>
                <w:u w:val="none"/>
                <w:shd w:val="clear" w:fill="FFFFFF"/>
              </w:rPr>
              <w:t xml:space="preserve">Conference on Parallel Processing, - ICPP 2018 - </w:t>
            </w:r>
            <w:bookmarkStart w:id="9" w:name="OLE_LINK8"/>
            <w:r>
              <w:rPr>
                <w:rFonts w:hint="default" w:ascii="Times New Roman" w:hAnsi="Times New Roman" w:eastAsia="宋体" w:cs="Times New Roman"/>
                <w:i w:val="0"/>
                <w:caps w:val="0"/>
                <w:color w:val="000000"/>
                <w:spacing w:val="0"/>
                <w:sz w:val="21"/>
                <w:szCs w:val="21"/>
                <w:highlight w:val="none"/>
                <w:u w:val="none"/>
                <w:shd w:val="clear" w:fill="FFFFFF"/>
              </w:rPr>
              <w:t>Energy-efficient Application Resource Scheduling using Machine Learning Classifiers</w:t>
            </w:r>
            <w:bookmarkEnd w:id="9"/>
            <w:r>
              <w:rPr>
                <w:rFonts w:hint="default" w:ascii="Times New Roman" w:hAnsi="Times New Roman" w:eastAsia="宋体" w:cs="Times New Roman"/>
                <w:i w:val="0"/>
                <w:caps w:val="0"/>
                <w:color w:val="000000"/>
                <w:spacing w:val="0"/>
                <w:sz w:val="21"/>
                <w:szCs w:val="21"/>
                <w:highlight w:val="none"/>
                <w:u w:val="none"/>
                <w:shd w:val="clear" w:fill="FFFFFF"/>
              </w:rPr>
              <w:t>[C]// 2018:1-11.</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bookmarkStart w:id="10" w:name="OLE_LINK6"/>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严小明</w:t>
            </w:r>
            <w:bookmarkEnd w:id="10"/>
          </w:p>
        </w:tc>
        <w:tc>
          <w:tcPr>
            <w:tcW w:w="6151" w:type="dxa"/>
            <w:vAlign w:val="center"/>
          </w:tcPr>
          <w:p>
            <w:pPr>
              <w:keepNext w:val="0"/>
              <w:keepLines w:val="0"/>
              <w:widowControl/>
              <w:numPr>
                <w:ilvl w:val="0"/>
                <w:numId w:val="2"/>
              </w:numPr>
              <w:suppressLineNumbers w:val="0"/>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11" w:name="OLE_LINK10"/>
            <w:r>
              <w:rPr>
                <w:rFonts w:hint="default" w:ascii="Times New Roman" w:hAnsi="Times New Roman" w:eastAsia="宋体" w:cs="Times New Roman"/>
                <w:b w:val="0"/>
                <w:bCs/>
                <w:color w:val="000000"/>
                <w:kern w:val="0"/>
                <w:sz w:val="21"/>
                <w:szCs w:val="21"/>
                <w:highlight w:val="none"/>
                <w:lang w:val="en-US" w:eastAsia="zh-CN" w:bidi="ar"/>
              </w:rPr>
              <w:t>HyPar-Flow: Exploiting MPI and Keras for Scalable Hybrid-Parallel DNN Training with TensorFlow</w:t>
            </w:r>
            <w:bookmarkEnd w:id="11"/>
            <w:r>
              <w:rPr>
                <w:rFonts w:hint="default" w:ascii="Times New Roman" w:hAnsi="Times New Roman" w:eastAsia="宋体" w:cs="Times New Roman"/>
                <w:b w:val="0"/>
                <w:bCs/>
                <w:color w:val="000000"/>
                <w:kern w:val="0"/>
                <w:sz w:val="21"/>
                <w:szCs w:val="21"/>
                <w:highlight w:val="none"/>
                <w:lang w:val="en-US" w:eastAsia="zh-CN" w:bidi="ar"/>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Wang Z, O'Boyle M. 2018. </w:t>
            </w:r>
            <w:bookmarkStart w:id="12" w:name="OLE_LINK9"/>
            <w:r>
              <w:rPr>
                <w:rFonts w:hint="default" w:ascii="Times New Roman" w:hAnsi="Times New Roman" w:eastAsia="宋体" w:cs="Times New Roman"/>
                <w:i w:val="0"/>
                <w:iCs w:val="0"/>
                <w:caps w:val="0"/>
                <w:color w:val="auto"/>
                <w:spacing w:val="0"/>
                <w:sz w:val="21"/>
                <w:szCs w:val="21"/>
                <w:highlight w:val="none"/>
                <w:u w:val="none"/>
                <w:shd w:val="clear" w:fill="FFFFFF"/>
              </w:rPr>
              <w:t>Machine Learning in Compiler Optimization. Proceedings of the IEEE</w:t>
            </w:r>
            <w:bookmarkEnd w:id="12"/>
            <w:r>
              <w:rPr>
                <w:rFonts w:hint="default" w:ascii="Times New Roman" w:hAnsi="Times New Roman" w:eastAsia="宋体" w:cs="Times New Roman"/>
                <w:i w:val="0"/>
                <w:iCs w:val="0"/>
                <w:caps w:val="0"/>
                <w:color w:val="auto"/>
                <w:spacing w:val="0"/>
                <w:sz w:val="21"/>
                <w:szCs w:val="21"/>
                <w:highlight w:val="none"/>
                <w:u w:val="none"/>
                <w:shd w:val="clear" w:fill="FFFFFF"/>
              </w:rPr>
              <w:t>. 106(11), pp. 1879-1901</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p>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Rocha RCO, Petoumenos P, Wang Z, Cole M, Leather H. 2019. Function Merging by Sequence Alignment. 2019 IEEE/ACM International Symposium on Code Generation and Optimization (CGO) Proceedings of the 2019 IEEE/ACM International Symposium on Code Generation and Optimization (CGO) IEEE, pp. 149-163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Reza, Md Farhadur &amp; Ampadu, Paul. (2019). Energy-Efficient and High-Performance NoC Architecture and Mapping Solution for Deep Neural Network. 10.1145/3313231.3352377. </w:t>
            </w:r>
          </w:p>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微软雅黑" w:cs="Times New Roman"/>
                <w:i w:val="0"/>
                <w:caps w:val="0"/>
                <w:color w:val="000000"/>
                <w:spacing w:val="0"/>
                <w:sz w:val="21"/>
                <w:szCs w:val="21"/>
                <w:u w:val="none"/>
                <w:shd w:val="clear" w:fill="FFFFFF"/>
              </w:rPr>
              <w:t>Charles S , Patil C A , Ogras U Y , et al. [IEEE 2018 Twelfth IEEE/ACM International Symposium on Networks-on-Chip (NOCS) - Torino, Italy (2018.10.4-2018.10.5)] 2018 Twelfth IEEE/ACM International Symposium on Networks-on-Chip (NOCS) - Exploration of Memory and Cluster Modes in Directory-Based Many-Core CMPs[C]// 2018:1-8.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MICRO-2012-A-Accurate Fine-Grained Processor Power Proxies. </w:t>
            </w:r>
          </w:p>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Cluster Comput-2008-Power capping: a prelude to power shifting. </w:t>
            </w:r>
          </w:p>
          <w:p>
            <w:pPr>
              <w:keepNext w:val="0"/>
              <w:keepLines w:val="0"/>
              <w:widowControl/>
              <w:numPr>
                <w:ilvl w:val="0"/>
                <w:numId w:val="5"/>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WEED-2012-Processor-Memory Power Shifting for Multi-Core Systems.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Estimation of energy consumption in machine learning</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w:t>
            </w:r>
            <w:bookmarkStart w:id="13" w:name="_GoBack"/>
            <w:bookmarkEnd w:id="13"/>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AACF3"/>
    <w:multiLevelType w:val="singleLevel"/>
    <w:tmpl w:val="934AACF3"/>
    <w:lvl w:ilvl="0" w:tentative="0">
      <w:start w:val="1"/>
      <w:numFmt w:val="decimal"/>
      <w:suff w:val="space"/>
      <w:lvlText w:val="%1."/>
      <w:lvlJc w:val="left"/>
    </w:lvl>
  </w:abstractNum>
  <w:abstractNum w:abstractNumId="1">
    <w:nsid w:val="C93EF3F1"/>
    <w:multiLevelType w:val="singleLevel"/>
    <w:tmpl w:val="C93EF3F1"/>
    <w:lvl w:ilvl="0" w:tentative="0">
      <w:start w:val="1"/>
      <w:numFmt w:val="decimal"/>
      <w:suff w:val="space"/>
      <w:lvlText w:val="%1."/>
      <w:lvlJc w:val="left"/>
    </w:lvl>
  </w:abstractNum>
  <w:abstractNum w:abstractNumId="2">
    <w:nsid w:val="29D00DA5"/>
    <w:multiLevelType w:val="singleLevel"/>
    <w:tmpl w:val="29D00DA5"/>
    <w:lvl w:ilvl="0" w:tentative="0">
      <w:start w:val="1"/>
      <w:numFmt w:val="decimal"/>
      <w:suff w:val="space"/>
      <w:lvlText w:val="%1."/>
      <w:lvlJc w:val="left"/>
    </w:lvl>
  </w:abstractNum>
  <w:abstractNum w:abstractNumId="3">
    <w:nsid w:val="56E138B3"/>
    <w:multiLevelType w:val="singleLevel"/>
    <w:tmpl w:val="56E138B3"/>
    <w:lvl w:ilvl="0" w:tentative="0">
      <w:start w:val="1"/>
      <w:numFmt w:val="decimal"/>
      <w:suff w:val="space"/>
      <w:lvlText w:val="%1."/>
      <w:lvlJc w:val="left"/>
    </w:lvl>
  </w:abstractNum>
  <w:abstractNum w:abstractNumId="4">
    <w:nsid w:val="7B9BA3CD"/>
    <w:multiLevelType w:val="singleLevel"/>
    <w:tmpl w:val="7B9BA3CD"/>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4014"/>
    <w:rsid w:val="008F28BE"/>
    <w:rsid w:val="008F75A9"/>
    <w:rsid w:val="00EC6C5D"/>
    <w:rsid w:val="01271D2E"/>
    <w:rsid w:val="014A2635"/>
    <w:rsid w:val="01553BF5"/>
    <w:rsid w:val="016F3DE2"/>
    <w:rsid w:val="019B25F6"/>
    <w:rsid w:val="01B02B90"/>
    <w:rsid w:val="01B235BD"/>
    <w:rsid w:val="01C3203A"/>
    <w:rsid w:val="01E14FE1"/>
    <w:rsid w:val="01E22253"/>
    <w:rsid w:val="020A2A03"/>
    <w:rsid w:val="02896695"/>
    <w:rsid w:val="02ED1D6B"/>
    <w:rsid w:val="03097D1F"/>
    <w:rsid w:val="032D6C22"/>
    <w:rsid w:val="033F0802"/>
    <w:rsid w:val="03CC779C"/>
    <w:rsid w:val="04366BC3"/>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991452"/>
    <w:rsid w:val="07A31245"/>
    <w:rsid w:val="07B528BE"/>
    <w:rsid w:val="07D3499B"/>
    <w:rsid w:val="07E41BDB"/>
    <w:rsid w:val="0849001F"/>
    <w:rsid w:val="0854391C"/>
    <w:rsid w:val="085C0F12"/>
    <w:rsid w:val="08A774DA"/>
    <w:rsid w:val="09146C2C"/>
    <w:rsid w:val="0931622E"/>
    <w:rsid w:val="094C4985"/>
    <w:rsid w:val="0953039D"/>
    <w:rsid w:val="09AF6BBF"/>
    <w:rsid w:val="09BE2E9A"/>
    <w:rsid w:val="09F20269"/>
    <w:rsid w:val="0A000CBF"/>
    <w:rsid w:val="0A231546"/>
    <w:rsid w:val="0A2A7B67"/>
    <w:rsid w:val="0A401116"/>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366F6"/>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042748"/>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159A3"/>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466267"/>
    <w:rsid w:val="1E633296"/>
    <w:rsid w:val="1E76645B"/>
    <w:rsid w:val="1E8503B8"/>
    <w:rsid w:val="1E87616B"/>
    <w:rsid w:val="1EE12350"/>
    <w:rsid w:val="1EE171BE"/>
    <w:rsid w:val="1EE268AA"/>
    <w:rsid w:val="1F3D1AA2"/>
    <w:rsid w:val="1F7946A3"/>
    <w:rsid w:val="1F88672A"/>
    <w:rsid w:val="1FC74A2E"/>
    <w:rsid w:val="1FFE7E04"/>
    <w:rsid w:val="200860F1"/>
    <w:rsid w:val="204024F8"/>
    <w:rsid w:val="209A747F"/>
    <w:rsid w:val="20F1097F"/>
    <w:rsid w:val="20F109E9"/>
    <w:rsid w:val="20F54183"/>
    <w:rsid w:val="20F604EB"/>
    <w:rsid w:val="20FA5954"/>
    <w:rsid w:val="21747D65"/>
    <w:rsid w:val="21876143"/>
    <w:rsid w:val="22284BEA"/>
    <w:rsid w:val="22390750"/>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7F26A7B"/>
    <w:rsid w:val="283D7D2B"/>
    <w:rsid w:val="285D519A"/>
    <w:rsid w:val="286D3A69"/>
    <w:rsid w:val="28713E71"/>
    <w:rsid w:val="2874059A"/>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2649C"/>
    <w:rsid w:val="2CD86A22"/>
    <w:rsid w:val="2CF374FD"/>
    <w:rsid w:val="2D9665D4"/>
    <w:rsid w:val="2D9F021E"/>
    <w:rsid w:val="2DC47E8B"/>
    <w:rsid w:val="2DFC6321"/>
    <w:rsid w:val="2E2C6C0D"/>
    <w:rsid w:val="2E3B75F7"/>
    <w:rsid w:val="2E86705F"/>
    <w:rsid w:val="2EFC1867"/>
    <w:rsid w:val="2F57024A"/>
    <w:rsid w:val="2F5E03FA"/>
    <w:rsid w:val="2F823972"/>
    <w:rsid w:val="2FA00757"/>
    <w:rsid w:val="2FBE4C1B"/>
    <w:rsid w:val="2FE836C7"/>
    <w:rsid w:val="307A080B"/>
    <w:rsid w:val="30887444"/>
    <w:rsid w:val="3193366B"/>
    <w:rsid w:val="32234558"/>
    <w:rsid w:val="323B6DAE"/>
    <w:rsid w:val="330F20E4"/>
    <w:rsid w:val="33130046"/>
    <w:rsid w:val="332A61E8"/>
    <w:rsid w:val="332B7D06"/>
    <w:rsid w:val="33450096"/>
    <w:rsid w:val="33B0752A"/>
    <w:rsid w:val="33C32DC4"/>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0B7138"/>
    <w:rsid w:val="382E0E77"/>
    <w:rsid w:val="388D7D91"/>
    <w:rsid w:val="389941A9"/>
    <w:rsid w:val="38E672BA"/>
    <w:rsid w:val="39162DFB"/>
    <w:rsid w:val="39184A20"/>
    <w:rsid w:val="391B38FA"/>
    <w:rsid w:val="393A3109"/>
    <w:rsid w:val="393E4B01"/>
    <w:rsid w:val="39553495"/>
    <w:rsid w:val="396F12FA"/>
    <w:rsid w:val="3A171725"/>
    <w:rsid w:val="3A1E34C8"/>
    <w:rsid w:val="3A373773"/>
    <w:rsid w:val="3A571A80"/>
    <w:rsid w:val="3A5A6D8E"/>
    <w:rsid w:val="3A736EB0"/>
    <w:rsid w:val="3A776FAD"/>
    <w:rsid w:val="3AB33A8A"/>
    <w:rsid w:val="3AD15AF5"/>
    <w:rsid w:val="3B115437"/>
    <w:rsid w:val="3B231113"/>
    <w:rsid w:val="3B485DAF"/>
    <w:rsid w:val="3BA84D87"/>
    <w:rsid w:val="3BC811C5"/>
    <w:rsid w:val="3BE23F72"/>
    <w:rsid w:val="3BF0746F"/>
    <w:rsid w:val="3BF506A8"/>
    <w:rsid w:val="3C1D1590"/>
    <w:rsid w:val="3C254F2D"/>
    <w:rsid w:val="3C3335EA"/>
    <w:rsid w:val="3C424C00"/>
    <w:rsid w:val="3C772500"/>
    <w:rsid w:val="3CA947CD"/>
    <w:rsid w:val="3CAD7642"/>
    <w:rsid w:val="3CB11EF4"/>
    <w:rsid w:val="3CBE5862"/>
    <w:rsid w:val="3CD02D61"/>
    <w:rsid w:val="3D2C687A"/>
    <w:rsid w:val="3D8C6512"/>
    <w:rsid w:val="3D9B6F39"/>
    <w:rsid w:val="3DAC4582"/>
    <w:rsid w:val="3DBD3B8F"/>
    <w:rsid w:val="3E87440A"/>
    <w:rsid w:val="3EDD2B6A"/>
    <w:rsid w:val="3F303789"/>
    <w:rsid w:val="3F3D710E"/>
    <w:rsid w:val="3F9E4185"/>
    <w:rsid w:val="3FB341E3"/>
    <w:rsid w:val="3FBE3D6D"/>
    <w:rsid w:val="3FD868BD"/>
    <w:rsid w:val="3FF65833"/>
    <w:rsid w:val="402C4CDD"/>
    <w:rsid w:val="40827978"/>
    <w:rsid w:val="4136349F"/>
    <w:rsid w:val="413B15F9"/>
    <w:rsid w:val="419C5163"/>
    <w:rsid w:val="41D4092D"/>
    <w:rsid w:val="41FD329A"/>
    <w:rsid w:val="42161D81"/>
    <w:rsid w:val="421F7215"/>
    <w:rsid w:val="42200B03"/>
    <w:rsid w:val="42AE62DE"/>
    <w:rsid w:val="42C9789E"/>
    <w:rsid w:val="42E0768C"/>
    <w:rsid w:val="42F52CC1"/>
    <w:rsid w:val="43023002"/>
    <w:rsid w:val="431B072C"/>
    <w:rsid w:val="434252C6"/>
    <w:rsid w:val="43434FDD"/>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EC0CF1"/>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B05356"/>
    <w:rsid w:val="4AD125DF"/>
    <w:rsid w:val="4B24406A"/>
    <w:rsid w:val="4B4358F9"/>
    <w:rsid w:val="4BAA6CF6"/>
    <w:rsid w:val="4BE8730F"/>
    <w:rsid w:val="4CAF129F"/>
    <w:rsid w:val="4CC671C2"/>
    <w:rsid w:val="4CE31FF1"/>
    <w:rsid w:val="4D0178F9"/>
    <w:rsid w:val="4D940C85"/>
    <w:rsid w:val="4D986CA7"/>
    <w:rsid w:val="4E2D6406"/>
    <w:rsid w:val="4E412316"/>
    <w:rsid w:val="4E4B5CD0"/>
    <w:rsid w:val="4E68544B"/>
    <w:rsid w:val="4E713FF5"/>
    <w:rsid w:val="4ED107DF"/>
    <w:rsid w:val="4ED17938"/>
    <w:rsid w:val="4F0A1F85"/>
    <w:rsid w:val="4F783A68"/>
    <w:rsid w:val="4F861E18"/>
    <w:rsid w:val="4F942588"/>
    <w:rsid w:val="4FA5229E"/>
    <w:rsid w:val="4FCC7CE3"/>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49055D4"/>
    <w:rsid w:val="55526B1C"/>
    <w:rsid w:val="55A90FF7"/>
    <w:rsid w:val="55B1720B"/>
    <w:rsid w:val="56150720"/>
    <w:rsid w:val="565E7A6E"/>
    <w:rsid w:val="5691799B"/>
    <w:rsid w:val="56CC4703"/>
    <w:rsid w:val="57370176"/>
    <w:rsid w:val="57500E3D"/>
    <w:rsid w:val="57547F8F"/>
    <w:rsid w:val="57E113C1"/>
    <w:rsid w:val="582352C8"/>
    <w:rsid w:val="584A26CA"/>
    <w:rsid w:val="585A32C7"/>
    <w:rsid w:val="585E623F"/>
    <w:rsid w:val="58612F6A"/>
    <w:rsid w:val="587620BF"/>
    <w:rsid w:val="58B60262"/>
    <w:rsid w:val="595C4481"/>
    <w:rsid w:val="595D407B"/>
    <w:rsid w:val="595F33D7"/>
    <w:rsid w:val="59E55069"/>
    <w:rsid w:val="5A132A00"/>
    <w:rsid w:val="5A353347"/>
    <w:rsid w:val="5A8C1F65"/>
    <w:rsid w:val="5AB627FF"/>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3D7097"/>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7F693B"/>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0A619B"/>
    <w:rsid w:val="69210AD1"/>
    <w:rsid w:val="695C5B67"/>
    <w:rsid w:val="69692C4F"/>
    <w:rsid w:val="696B5FD6"/>
    <w:rsid w:val="69DC359A"/>
    <w:rsid w:val="6A015A0A"/>
    <w:rsid w:val="6A111717"/>
    <w:rsid w:val="6A702D63"/>
    <w:rsid w:val="6A757744"/>
    <w:rsid w:val="6A860374"/>
    <w:rsid w:val="6AC863F1"/>
    <w:rsid w:val="6ADC63A5"/>
    <w:rsid w:val="6B0C6A61"/>
    <w:rsid w:val="6B2D2440"/>
    <w:rsid w:val="6B4B3967"/>
    <w:rsid w:val="6B932270"/>
    <w:rsid w:val="6B942B24"/>
    <w:rsid w:val="6BAB62B3"/>
    <w:rsid w:val="6BB224D4"/>
    <w:rsid w:val="6BC07903"/>
    <w:rsid w:val="6BF20BB8"/>
    <w:rsid w:val="6CAE1B00"/>
    <w:rsid w:val="6CC53C99"/>
    <w:rsid w:val="6CCC0FEA"/>
    <w:rsid w:val="6CD52EDD"/>
    <w:rsid w:val="6D5C4CE8"/>
    <w:rsid w:val="6D7F5530"/>
    <w:rsid w:val="6D862EF3"/>
    <w:rsid w:val="6D921E77"/>
    <w:rsid w:val="6D9441A7"/>
    <w:rsid w:val="6DF7609E"/>
    <w:rsid w:val="6EAB0902"/>
    <w:rsid w:val="6F426AF6"/>
    <w:rsid w:val="6F605A58"/>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7A09B7"/>
    <w:rsid w:val="7289114D"/>
    <w:rsid w:val="728C315E"/>
    <w:rsid w:val="72A07953"/>
    <w:rsid w:val="72DF3649"/>
    <w:rsid w:val="73133851"/>
    <w:rsid w:val="734A0C2C"/>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9ED59C1"/>
    <w:rsid w:val="7A053A75"/>
    <w:rsid w:val="7AB832B2"/>
    <w:rsid w:val="7AE6222B"/>
    <w:rsid w:val="7AF415CE"/>
    <w:rsid w:val="7B006549"/>
    <w:rsid w:val="7B654288"/>
    <w:rsid w:val="7B7C2601"/>
    <w:rsid w:val="7B7C4771"/>
    <w:rsid w:val="7B7C6CC4"/>
    <w:rsid w:val="7B912A43"/>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2020-03-08T14:32:57Z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