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b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cod_b char(2),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descrcipcion_b varchar(20)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a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cod_a char(2),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descrcipcion_a varchar(20)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cod_b char(2),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foreign key (cod_b)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references b (cod_b)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cod_c char(2),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descrcipcion_c varchar(20)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d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cod_d char(2),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descrcipcion_d varchar(20)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cod_c char(2),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foreign key (cod_c)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references c (cod_c)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cb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id_c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cod_b char(2),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primary key (id_c, cod_b),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foreign key (id_c) references c (id_c),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foreign key (cod_b) references b (cod_b)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