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todos los elementos peso (etiqueta incluida).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/inventario/producto/peso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las cantidades de todos los elementos peso (sin la etiqueta &lt;peso&gt;).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/inventario/producto/peso/text()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peso del último elemento.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/inventario/producto[last()]/peso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las distintas unidades en las que se han almacenado los pesos.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inventario/producto/peso/@unidad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penúltimo código.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/inventario/producto[last()-1]</w:t>
      </w:r>
      <w:r w:rsidDel="00000000" w:rsidR="00000000" w:rsidRPr="00000000">
        <w:rPr>
          <w:rtl w:val="0"/>
        </w:rPr>
        <w:t xml:space="preserve">/@codigo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peso del elemento cuyo código sea AAA-111.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/inventario/producto[@codigo="AAA-111"]/peso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nombre de los productos que hayan puesto el peso en gramos.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highlight w:val="white"/>
          <w:rtl w:val="0"/>
        </w:rPr>
        <w:t xml:space="preserve">/inventario/producto[peso[@unidad="g"]]/nombre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código de los productos cuyo nombre sea «Monitor».</w:t>
        <w:br w:type="textWrapping"/>
      </w:r>
    </w:p>
    <w:p w:rsidR="00000000" w:rsidDel="00000000" w:rsidP="00000000" w:rsidRDefault="00000000" w:rsidRPr="00000000" w14:paraId="00000010">
      <w:pPr>
        <w:pBdr>
          <w:top w:color="e1e4e5" w:space="0" w:sz="6" w:val="single"/>
          <w:left w:color="e1e4e5" w:space="0" w:sz="6" w:val="single"/>
          <w:bottom w:color="e1e4e5" w:space="0" w:sz="6" w:val="single"/>
          <w:right w:color="e1e4e5" w:space="0" w:sz="6" w:val="single"/>
          <w:between w:color="e1e4e5" w:space="0" w:sz="6" w:val="single"/>
        </w:pBdr>
        <w:spacing w:after="480" w:line="18.545454545454547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/inventario/producto[nombre="Monitor"]/@codigo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el código de los productos que pesen más de un cuarto de kilo.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/inventario/producto[ (peso/@unidad="g" and peso/text()&gt;"250") or (peso/@unidad="kg" and peso/text()&gt;"0.25") ]/@codigo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