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2001:db8:1234:f000::/52  →  2001:db8:1234:f  000::/52  →  2001:db8:1234:f 001::/64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2001:db8:1234:f000::/52  →  2001:db8:1234:f  000::/52  →  2001:db8:1234:f002::/64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760" w:firstLine="0"/>
        <w:rPr/>
      </w:pPr>
      <w:r w:rsidDel="00000000" w:rsidR="00000000" w:rsidRPr="00000000">
        <w:rPr>
          <w:rtl w:val="0"/>
        </w:rPr>
        <w:t xml:space="preserve"> 2001:db8:1234:f003::/64</w:t>
      </w:r>
    </w:p>
    <w:p w:rsidR="00000000" w:rsidDel="00000000" w:rsidP="00000000" w:rsidRDefault="00000000" w:rsidRPr="00000000" w14:paraId="00000006">
      <w:pPr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760" w:firstLine="0"/>
        <w:rPr/>
      </w:pPr>
      <w:r w:rsidDel="00000000" w:rsidR="00000000" w:rsidRPr="00000000">
        <w:rPr>
          <w:rtl w:val="0"/>
        </w:rPr>
        <w:t xml:space="preserve"> 2001:db8:1234:f004::/64</w:t>
      </w:r>
    </w:p>
    <w:p w:rsidR="00000000" w:rsidDel="00000000" w:rsidP="00000000" w:rsidRDefault="00000000" w:rsidRPr="00000000" w14:paraId="00000008">
      <w:pPr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760" w:firstLine="0"/>
        <w:rPr/>
      </w:pPr>
      <w:r w:rsidDel="00000000" w:rsidR="00000000" w:rsidRPr="00000000">
        <w:rPr>
          <w:rtl w:val="0"/>
        </w:rPr>
        <w:t xml:space="preserve"> 2001:db8:1234:f005::/64</w:t>
      </w:r>
    </w:p>
    <w:p w:rsidR="00000000" w:rsidDel="00000000" w:rsidP="00000000" w:rsidRDefault="00000000" w:rsidRPr="00000000" w14:paraId="0000000A">
      <w:pPr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5760" w:firstLine="0"/>
        <w:rPr/>
      </w:pPr>
      <w:r w:rsidDel="00000000" w:rsidR="00000000" w:rsidRPr="00000000">
        <w:rPr>
          <w:rtl w:val="0"/>
        </w:rPr>
        <w:t xml:space="preserve"> 2001:db8:1234:f006::/64</w:t>
      </w:r>
    </w:p>
    <w:p w:rsidR="00000000" w:rsidDel="00000000" w:rsidP="00000000" w:rsidRDefault="00000000" w:rsidRPr="00000000" w14:paraId="0000000C">
      <w:pPr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760" w:firstLine="0"/>
        <w:rPr/>
      </w:pPr>
      <w:r w:rsidDel="00000000" w:rsidR="00000000" w:rsidRPr="00000000">
        <w:rPr>
          <w:rtl w:val="0"/>
        </w:rPr>
        <w:t xml:space="preserve"> 2001:db8:1234:f007::/64</w:t>
      </w:r>
    </w:p>
    <w:p w:rsidR="00000000" w:rsidDel="00000000" w:rsidP="00000000" w:rsidRDefault="00000000" w:rsidRPr="00000000" w14:paraId="0000000E">
      <w:pPr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760" w:firstLine="0"/>
        <w:rPr/>
      </w:pPr>
      <w:r w:rsidDel="00000000" w:rsidR="00000000" w:rsidRPr="00000000">
        <w:rPr>
          <w:rtl w:val="0"/>
        </w:rPr>
        <w:t xml:space="preserve"> 2001:db8:1234:f008::/64</w:t>
      </w:r>
    </w:p>
    <w:p w:rsidR="00000000" w:rsidDel="00000000" w:rsidP="00000000" w:rsidRDefault="00000000" w:rsidRPr="00000000" w14:paraId="00000010">
      <w:pPr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760" w:firstLine="0"/>
        <w:rPr/>
      </w:pPr>
      <w:r w:rsidDel="00000000" w:rsidR="00000000" w:rsidRPr="00000000">
        <w:rPr>
          <w:rtl w:val="0"/>
        </w:rPr>
        <w:t xml:space="preserve"> 2001:db8:1234:f009::/64</w:t>
      </w:r>
    </w:p>
    <w:p w:rsidR="00000000" w:rsidDel="00000000" w:rsidP="00000000" w:rsidRDefault="00000000" w:rsidRPr="00000000" w14:paraId="00000012">
      <w:pPr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760" w:firstLine="0"/>
        <w:rPr/>
      </w:pPr>
      <w:r w:rsidDel="00000000" w:rsidR="00000000" w:rsidRPr="00000000">
        <w:rPr>
          <w:rtl w:val="0"/>
        </w:rPr>
        <w:t xml:space="preserve"> 2001:db8:1234:f010::/64</w:t>
      </w:r>
    </w:p>
    <w:p w:rsidR="00000000" w:rsidDel="00000000" w:rsidP="00000000" w:rsidRDefault="00000000" w:rsidRPr="00000000" w14:paraId="00000014">
      <w:pPr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760" w:firstLine="0"/>
        <w:rPr/>
      </w:pPr>
      <w:r w:rsidDel="00000000" w:rsidR="00000000" w:rsidRPr="00000000">
        <w:rPr>
          <w:rtl w:val="0"/>
        </w:rPr>
        <w:t xml:space="preserve"> 2001:db8:1234:f011::/64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EJERCICIO PAR 4.04: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2001:db8:a::/48 →     2001:db8:a::/52 → Reservado para direccionamiento interno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2001:db8:a:1000::/52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  <w:t xml:space="preserve">2001:db8:a:2000::/52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  <w:t xml:space="preserve">2001:db8:a:3000::/52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  <w:t xml:space="preserve">2001:db8:a:4000::/52  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  <w:t xml:space="preserve">2001:db8:a:5000::/52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2001:db8:a:6000::/52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  <w:t xml:space="preserve">2001:db8:a:d000::/52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  <w:t xml:space="preserve">2001:db8:a:e000::/52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  <w:t xml:space="preserve">2001:db8:a:f000::/52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2001:db8:a::aa1:0/126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2001:db8:a::aa2:1/126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PAR 4.05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2001:c0ca:1515::/48  → 2001:c0ca:1515:1   000::/52  →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  <w:t xml:space="preserve">     2001:c0ca:1515:2   000::/52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2001:c0ca:1515:f1   00::/56   →   Ptp</w:t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2001:c0ca:1515::aa1:0/126 Para RA-RA1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2001:c0ca:1515::aa2:0/126 Para RA-RA2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2001:c0ca:1515::bb1:0/126 Para RB-RB1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2001:c0ca:1515::bb2:0/126 Para RB-RB2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2001:c0ca:1515::cc1:0/126 Para RC-RC1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2001:c0ca:1515::cc2:0/126 Para RC-RC2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2001:c0ca:1515::dd1:0/126 Para RD-RD1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2001:c0ca:1515::dd2:0/126 Para RD-RD2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16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2001:c0ca:1515:f2   00::/56  → No Ptp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  <w:t xml:space="preserve">    2001:c0ca:1515:f3   00::/56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PAR 4.06 </w:t>
      </w:r>
    </w:p>
    <w:p w:rsidR="00000000" w:rsidDel="00000000" w:rsidP="00000000" w:rsidRDefault="00000000" w:rsidRPr="00000000" w14:paraId="0000006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Para ello, utiliza el siguiente direccionamiento: 2001:cafe::/32. Haz delegación de prefijos, partiendo desde RX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Si quieres, puedes hacerlo usando el siguiente plan de direccionamiento: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 Reserva un /36 para las redes de distribución.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◦ Reserva un /40 para redes de tipo Point To Point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▪ Usa /126 en redes PtP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 Utiliza un /36 para que RX distribuya usando DHCPv6 y haz que los routers de acceso usen dichos prefijos en las redes de acceso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PRIMER PASO ASIGNAMOS DIRECCIONES IPV6: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SEGUNDO PASO HACEMOS SUBNETTING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2001:cafe::/32  →  2001:cafe::/36</w:t>
        <w:tab/>
        <w:t xml:space="preserve">Redes de Distribución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2001:cafe::/40 </w:t>
        <w:tab/>
        <w:tab/>
        <w:t xml:space="preserve">Redes Ptp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2001:cafe:0100::/40</w:t>
        <w:tab/>
        <w:tab/>
        <w:t xml:space="preserve">Otras redes de distribución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2001:cafe:0200::/40  …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….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2001:cafe:0f00::/40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2001:cafe:1000::/36 </w:t>
        <w:tab/>
        <w:tab/>
        <w:tab/>
        <w:t xml:space="preserve">Pool RX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2001:cafe:2000::/36 </w:t>
        <w:tab/>
        <w:tab/>
        <w:tab/>
        <w:t xml:space="preserve">Sin uso actual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2001:cafe:f000::/36</w:t>
        <w:tab/>
        <w:tab/>
        <w:tab/>
        <w:t xml:space="preserve">idem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PAR 4.12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Direccionamiento para el área A: 2001:a:a::/48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2001:a:a::/52 Para redes de distribución y loopback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2001:a:a::/112 para loopbacks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2001:a:a::a/128 para RA1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2001:a:a::a1/128 para RA11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2001:a:a::a2/128 para RA12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2001:a:a::a:0/112 para redes SwA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2001:a:a:1000::/52 para el PoP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Direccionamiento para el área B: 2001:b:b::/48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2001:b:b::/52 Para redes de distribución y loopback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2001:b:b::/112 para loopbacks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2001:b:b::b/128 para RB1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2001:b:b::b1/128 para RB11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2001:b:b::b2/128 para RB12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2001:b:b::b:0/112 para redes SwA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2001:b:b:1000::/52 para el PoP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Direccionamiento para el área C: 2001:c:c::/48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Direccionamiento para el área D: 2001:d:d::/48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