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hd w:fill="fff2cc" w:val="clear"/>
          <w:rtl w:val="0"/>
        </w:rPr>
        <w:t xml:space="preserve">PARA LOS ROUTERS DENTRO DE ÁREA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 address/add interface=loopback address=10.255.255.14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routing/ospf/instance/add name=ospf router-id=id_ospf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routing/ospf/area/add name=areaC area-id=0.0.0.3 type=stub instance=ospf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f2cc" w:val="clear"/>
          <w:rtl w:val="0"/>
        </w:rPr>
        <w:t xml:space="preserve">PARA LOS ROUTERS BORDES DE ÁREA → Router ABR (no summaries)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ip address/add interface=loopback address=10.255.255.3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routing/ospf/instance/add name=ospf router-id=id_ospf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routing/ospf/area/add name=areaC instance=ospf area-id=0.0.0.3 type=stub no-summaries default-cost=1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routing/ospf/area/range/add area=areaA prefix=10.3.15.0/24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routing/ospf/interface-template/add area=backbone interfaces=ether6 type=ptp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routing/ospf/interface-template/add area=areaA interfaces=ether3 type=ptp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PARA LOS ROUTERS SIN AREA (BACKBONE)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interface/bridge/add name=loopback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ip address/add interface=loopback address=10.255.255.4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routing/ospf/instance/add name=ospf router-id=id_ospf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routing/ospf/area/add name=backbone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routing/ospf/interface-template/add area=backbone interfaces=ether1 type=ptp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6696789" cy="3833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789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6254447" cy="33973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4447" cy="3397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