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EXPLICACION DE COMANDOS “BCDEDIT”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bcdedit /store BCD /set {bootmgr} default {id}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usa en entornos de Windows,  su principal función es configurar el id predeterminado del gestor de arranque.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bcdedit /store BCD /set {bootmgr} path \EFI\Microsoft\Boot\bootmgfw.efi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usa para modificar la ruta del archivo de arranque del gestor de arranque en sistemas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 utilizan UEFI.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bcdedit /store BCD /set {bootmgr} displayorder {default}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usa para configurar el orden de visualización de las opciones de arranque por defecto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sistemas Windows.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bcdedit /createstore BCD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usa para modificar la configuración existente del BCD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bcdedit /store BCD /create {bootmgr} /d “windows boot manager”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usa para crear una nueva entrada en el almacén de datos de configuración de arranque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especificar y configurar el gestor de arranque en sistemas Windows.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bcdedit /store BCD /create {bootmgr} /d “My Windows 10” /application osloader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usa para crear una nueva entrada en el almacén de datos de configuración de arranque en sistemas Windows.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bcdedit /store BCD /set {default} devices partition=c: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usa para establecer la partición de arranque para la entrada predeterminada en 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almacén de datos de configuración.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bcdedit /store BCD /set {default} osdevices partition=c: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usa para definir la partición del sistema operativo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bcdedit /store BCD /set {default} path \Windows\System32\winload.efi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 usa para especificar la ruta del archivo de carga del sistema operativo en sistemas Windows que utilizan UEFI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bcdedit /store BCD /set {default} systemroot \Windows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usa para establecer la ruta del directorio raíz del sistema operativo para la entrada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predeterminada en el almacén de datos de configuración de arranque en sistemas Windows.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