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ADMINISTRACIÓN DE DIRECTIVAS DE GRUPO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esta actividad se van a configurar un fondo de pantalla determinado para todos los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usuarios de una unidad organizativa.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ello debes seguir los pasos de esta guía: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https://www.labsmac.es/establecer-fondo-de-pantalla-a-traves-de-una-gpo/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Previamente deberás crear la estructura de unidades organizativas: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433513" cy="79283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792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OU LabsMac debe “colgar” directamente de tu dominio. Y deberás incluir en cada OU los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usuarios cuyo nombre se refleja en color rojo.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148013" cy="54897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548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Como fondo de escritorio puedes elegir 2 imágenes modificadas de tu equipo, una con 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título “Servicio Técnico” y Otra con el título “Administración”.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288621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886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ENLACE: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https://youtu.be/r23jX375laA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labsmac.es/establecer-fondo-de-pantalla-a-traves-de-una-gpo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