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handas" w:cs="Chandas" w:eastAsia="Chandas" w:hAnsi="Chandas"/>
          <w:b w:val="1"/>
          <w:color w:val="2a6099"/>
        </w:rPr>
      </w:pPr>
      <w:r w:rsidDel="00000000" w:rsidR="00000000" w:rsidRPr="00000000">
        <w:rPr>
          <w:rFonts w:ascii="Chandas" w:cs="Chandas" w:eastAsia="Chandas" w:hAnsi="Chandas"/>
          <w:b w:val="1"/>
          <w:color w:val="2a6099"/>
          <w:rtl w:val="0"/>
        </w:rPr>
        <w:t xml:space="preserve">PRÁCTICA 8-3 AMPLIACIÓN:</w:t>
      </w:r>
    </w:p>
    <w:p w:rsidR="00000000" w:rsidDel="00000000" w:rsidP="00000000" w:rsidRDefault="00000000" w:rsidRPr="00000000" w14:paraId="00000002">
      <w:pPr>
        <w:rPr>
          <w:rFonts w:ascii="Chandas" w:cs="Chandas" w:eastAsia="Chandas" w:hAnsi="Chandas"/>
          <w:b w:val="1"/>
          <w:color w:val="2a6099"/>
        </w:rPr>
      </w:pPr>
      <w:r w:rsidDel="00000000" w:rsidR="00000000" w:rsidRPr="00000000">
        <w:rPr>
          <w:rFonts w:ascii="Chandas" w:cs="Chandas" w:eastAsia="Chandas" w:hAnsi="Chandas"/>
          <w:b w:val="1"/>
          <w:color w:val="2a6099"/>
          <w:rtl w:val="0"/>
        </w:rPr>
        <w:t xml:space="preserve">AUDITAR ACCESO A RECURSOS DE RED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primer lugar debes localizar las 2 directivas relacionadas con recursos de red en la auditoría avanzada de acceso a objeto. ¿Qué nombre reciben cada una de ellas?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Acceso a objetos: Auditoría de acceso a objetos detallada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Acceso a objetos: Auditoría de acceso a objetos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continuación debes rellenar esta tabla de forma resumida, relativa a estas 2 directivas:</w:t>
        <w:br w:type="textWrapping"/>
        <w:br w:type="textWrapping"/>
      </w:r>
    </w:p>
    <w:tbl>
      <w:tblPr>
        <w:tblStyle w:val="Table1"/>
        <w:tblW w:w="9972.0" w:type="dxa"/>
        <w:jc w:val="left"/>
        <w:tblLayout w:type="fixed"/>
        <w:tblLook w:val="0000"/>
      </w:tblPr>
      <w:tblGrid>
        <w:gridCol w:w="2945"/>
        <w:gridCol w:w="3702"/>
        <w:gridCol w:w="3325"/>
        <w:tblGridChange w:id="0">
          <w:tblGrid>
            <w:gridCol w:w="2945"/>
            <w:gridCol w:w="3702"/>
            <w:gridCol w:w="3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  <w:rtl w:val="0"/>
              </w:rPr>
              <w:t xml:space="preserve">DIRECTIVA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  <w:rtl w:val="0"/>
              </w:rPr>
              <w:t xml:space="preserve">Nombre de la directiva 1: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  <w:rtl w:val="0"/>
              </w:rPr>
              <w:br w:type="textWrapping"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  <w:rtl w:val="0"/>
              </w:rPr>
              <w:t xml:space="preserve">Nombre de la directiva 2: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  <w:rtl w:val="0"/>
              </w:rPr>
              <w:t xml:space="preserve">EXPLICACIÓN.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fe2f3" w:val="clear"/>
                <w:vertAlign w:val="baseline"/>
                <w:rtl w:val="0"/>
              </w:rPr>
              <w:t xml:space="preserve">¿QUÉ VA A REGISTRAR?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 eventos detallados relacionados con el acceso a los archivos y carpetas que están compartidos en la 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eventos relacionados con el acceso a los recursos compartidos en la red, pero de una manera menos detallada que la auditoría de acceso a objetos detallada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realizar los apartados 3 y 4 deberás crear un recurso compartido en el servidor, y darle acceso a un usuario del dominio. Luego debes iniciar sesión en un cliente con ese usuario y realizar con él las pruebas de los apartados 3 y 4.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9548" cy="46358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548" cy="4635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0150" cy="292902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150" cy="292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Ahora deberás configurar la directiva que únicamente comprueba si un usuario intenta el acceso a un recurso de red.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32220" cy="190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134100" cy="4219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 último lugar debes configurar la directiva que registra cuando se accede a un objeto que está dentro de un recurso de red, por ejemplo un archivo.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hand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