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color w:val="2B6CB0"/>
          <w:sz w:val="19"/>
        </w:rPr>
        <w:t>URBANPULSE — GESTIÓN INTELIGENTE DE TRÁFICO Y SEGURIDAD VIAL</w:t>
      </w:r>
    </w:p>
    <w:p>
      <w:pPr>
        <w:spacing w:before="0" w:after="160"/>
      </w:pPr>
      <w:r>
        <w:rPr>
          <w:rFonts w:ascii="Arial" w:hAnsi="Arial"/>
          <w:b/>
          <w:color w:val="1A365D"/>
          <w:sz w:val="44"/>
        </w:rPr>
        <w:t>Informe Técnico de Ciberseguridad y Cumplimiento DevSecOps</w:t>
      </w:r>
    </w:p>
    <w:p>
      <w:pPr>
        <w:spacing w:after="320"/>
      </w:pPr>
      <w:r>
        <w:rPr>
          <w:rFonts w:ascii="Arial" w:hAnsi="Arial"/>
          <w:i/>
          <w:color w:val="718096"/>
          <w:sz w:val="24"/>
        </w:rPr>
        <w:t>Auditoría en Vivo, Hardening Perimetral en Vercel y Validación Continua en CI/CD (Sprint 2 / HT-30)</w:t>
      </w:r>
    </w:p>
    <w:tbl>
      <w:tblPr>
        <w:tblW w:type="auto" w:w="0"/>
        <w:jc w:val="center"/>
        <w:tblLook w:firstColumn="1" w:firstRow="1" w:lastColumn="0" w:lastRow="0" w:noHBand="0" w:noVBand="1" w:val="04A0"/>
      </w:tblPr>
      <w:tblGrid>
        <w:gridCol w:w="4680"/>
        <w:gridCol w:w="4680"/>
      </w:tblGrid>
      <w:tr>
        <w:tc>
          <w:tcPr>
            <w:tcW w:type="dxa" w:w="3600"/>
            <w:shd w:fill="EDF2F7"/>
            <w:tcMar>
              <w:top w:w="80" w:type="dxa"/>
              <w:bottom w:w="80" w:type="dxa"/>
              <w:left w:w="120" w:type="dxa"/>
              <w:right w:w="120" w:type="dxa"/>
            </w:tcMar>
          </w:tcPr>
          <w:p>
            <w:pPr>
              <w:spacing w:after="0"/>
            </w:pPr>
            <w:r>
              <w:rPr>
                <w:rFonts w:ascii="Arial" w:hAnsi="Arial"/>
                <w:b/>
                <w:color w:val="1A365D"/>
                <w:sz w:val="19"/>
              </w:rPr>
              <w:t>Módulo / Historia de Usuario:</w:t>
            </w:r>
          </w:p>
        </w:tc>
        <w:tc>
          <w:tcPr>
            <w:tcW w:type="dxa" w:w="5760"/>
            <w:shd w:fill="F7FAFC"/>
            <w:tcMar>
              <w:top w:w="80" w:type="dxa"/>
              <w:bottom w:w="80" w:type="dxa"/>
              <w:left w:w="120" w:type="dxa"/>
              <w:right w:w="120" w:type="dxa"/>
            </w:tcMar>
          </w:tcPr>
          <w:p>
            <w:pPr>
              <w:spacing w:after="0"/>
            </w:pPr>
            <w:r>
              <w:rPr>
                <w:rFonts w:ascii="Arial" w:hAnsi="Arial"/>
                <w:color w:val="2D3748"/>
                <w:sz w:val="19"/>
              </w:rPr>
              <w:t>DevSecOps — HT-30 (Hardening Keys y Políticas de Seguridad en Producción)</w:t>
            </w:r>
          </w:p>
        </w:tc>
      </w:tr>
      <w:tr>
        <w:tc>
          <w:tcPr>
            <w:tcW w:type="dxa" w:w="3600"/>
            <w:shd w:fill="EDF2F7"/>
            <w:tcMar>
              <w:top w:w="80" w:type="dxa"/>
              <w:bottom w:w="80" w:type="dxa"/>
              <w:left w:w="120" w:type="dxa"/>
              <w:right w:w="120" w:type="dxa"/>
            </w:tcMar>
          </w:tcPr>
          <w:p>
            <w:pPr>
              <w:spacing w:after="0"/>
            </w:pPr>
            <w:r>
              <w:rPr>
                <w:rFonts w:ascii="Arial" w:hAnsi="Arial"/>
                <w:b/>
                <w:color w:val="1A365D"/>
                <w:sz w:val="19"/>
              </w:rPr>
              <w:t>Auditor / Responsable Técnico:</w:t>
            </w:r>
          </w:p>
        </w:tc>
        <w:tc>
          <w:tcPr>
            <w:tcW w:type="dxa" w:w="5760"/>
            <w:shd w:fill="F7FAFC"/>
            <w:tcMar>
              <w:top w:w="80" w:type="dxa"/>
              <w:bottom w:w="80" w:type="dxa"/>
              <w:left w:w="120" w:type="dxa"/>
              <w:right w:w="120" w:type="dxa"/>
            </w:tcMar>
          </w:tcPr>
          <w:p>
            <w:pPr>
              <w:spacing w:after="0"/>
            </w:pPr>
            <w:r>
              <w:rPr>
                <w:rFonts w:ascii="Arial" w:hAnsi="Arial"/>
                <w:color w:val="2D3748"/>
                <w:sz w:val="19"/>
              </w:rPr>
              <w:t>Álvaro Tipian — Ingeniero DevSecOps / Co-Codeowner</w:t>
            </w:r>
          </w:p>
        </w:tc>
      </w:tr>
      <w:tr>
        <w:tc>
          <w:tcPr>
            <w:tcW w:type="dxa" w:w="3600"/>
            <w:shd w:fill="EDF2F7"/>
            <w:tcMar>
              <w:top w:w="80" w:type="dxa"/>
              <w:bottom w:w="80" w:type="dxa"/>
              <w:left w:w="120" w:type="dxa"/>
              <w:right w:w="120" w:type="dxa"/>
            </w:tcMar>
          </w:tcPr>
          <w:p>
            <w:pPr>
              <w:spacing w:after="0"/>
            </w:pPr>
            <w:r>
              <w:rPr>
                <w:rFonts w:ascii="Arial" w:hAnsi="Arial"/>
                <w:b/>
                <w:color w:val="1A365D"/>
                <w:sz w:val="19"/>
              </w:rPr>
              <w:t>Entorno Auditado en Vivo:</w:t>
            </w:r>
          </w:p>
        </w:tc>
        <w:tc>
          <w:tcPr>
            <w:tcW w:type="dxa" w:w="5760"/>
            <w:shd w:fill="F7FAFC"/>
            <w:tcMar>
              <w:top w:w="80" w:type="dxa"/>
              <w:bottom w:w="80" w:type="dxa"/>
              <w:left w:w="120" w:type="dxa"/>
              <w:right w:w="120" w:type="dxa"/>
            </w:tcMar>
          </w:tcPr>
          <w:p>
            <w:pPr>
              <w:spacing w:after="0"/>
            </w:pPr>
            <w:r>
              <w:rPr>
                <w:rFonts w:ascii="Arial" w:hAnsi="Arial"/>
                <w:color w:val="2D3748"/>
                <w:sz w:val="19"/>
              </w:rPr>
              <w:t>Producción Vercel Edge (https://equipo3-urban-pulse.vercel.app)</w:t>
            </w:r>
          </w:p>
        </w:tc>
      </w:tr>
      <w:tr>
        <w:tc>
          <w:tcPr>
            <w:tcW w:type="dxa" w:w="3600"/>
            <w:shd w:fill="EDF2F7"/>
            <w:tcMar>
              <w:top w:w="80" w:type="dxa"/>
              <w:bottom w:w="80" w:type="dxa"/>
              <w:left w:w="120" w:type="dxa"/>
              <w:right w:w="120" w:type="dxa"/>
            </w:tcMar>
          </w:tcPr>
          <w:p>
            <w:pPr>
              <w:spacing w:after="0"/>
            </w:pPr>
            <w:r>
              <w:rPr>
                <w:rFonts w:ascii="Arial" w:hAnsi="Arial"/>
                <w:b/>
                <w:color w:val="1A365D"/>
                <w:sz w:val="19"/>
              </w:rPr>
              <w:t>Fecha y Estado de Certificación:</w:t>
            </w:r>
          </w:p>
        </w:tc>
        <w:tc>
          <w:tcPr>
            <w:tcW w:type="dxa" w:w="5760"/>
            <w:shd w:fill="F7FAFC"/>
            <w:tcMar>
              <w:top w:w="80" w:type="dxa"/>
              <w:bottom w:w="80" w:type="dxa"/>
              <w:left w:w="120" w:type="dxa"/>
              <w:right w:w="120" w:type="dxa"/>
            </w:tcMar>
          </w:tcPr>
          <w:p>
            <w:pPr>
              <w:spacing w:after="0"/>
            </w:pPr>
            <w:r>
              <w:rPr>
                <w:rFonts w:ascii="Arial" w:hAnsi="Arial"/>
                <w:color w:val="2D3748"/>
                <w:sz w:val="19"/>
              </w:rPr>
              <w:t>17 de Septiembre, 2026 — Certificado APROBADO (PR #221)</w:t>
            </w:r>
          </w:p>
        </w:tc>
      </w:tr>
      <w:tr>
        <w:tc>
          <w:tcPr>
            <w:tcW w:type="dxa" w:w="3600"/>
            <w:shd w:fill="EDF2F7"/>
            <w:tcMar>
              <w:top w:w="80" w:type="dxa"/>
              <w:bottom w:w="80" w:type="dxa"/>
              <w:left w:w="120" w:type="dxa"/>
              <w:right w:w="120" w:type="dxa"/>
            </w:tcMar>
          </w:tcPr>
          <w:p>
            <w:pPr>
              <w:spacing w:after="0"/>
            </w:pPr>
            <w:r>
              <w:rPr>
                <w:rFonts w:ascii="Arial" w:hAnsi="Arial"/>
                <w:b/>
                <w:color w:val="1A365D"/>
                <w:sz w:val="19"/>
              </w:rPr>
              <w:t>Calificación Global de Cumplimiento:</w:t>
            </w:r>
          </w:p>
        </w:tc>
        <w:tc>
          <w:tcPr>
            <w:tcW w:type="dxa" w:w="5760"/>
            <w:shd w:fill="C6F6D5"/>
            <w:tcMar>
              <w:top w:w="80" w:type="dxa"/>
              <w:bottom w:w="80" w:type="dxa"/>
              <w:left w:w="120" w:type="dxa"/>
              <w:right w:w="120" w:type="dxa"/>
            </w:tcMar>
          </w:tcPr>
          <w:p>
            <w:pPr>
              <w:spacing w:after="0"/>
            </w:pPr>
            <w:r>
              <w:rPr>
                <w:rFonts w:ascii="Arial" w:hAnsi="Arial"/>
                <w:b/>
                <w:color w:val="276749"/>
                <w:sz w:val="19"/>
              </w:rPr>
              <w:t>100 / 100 — Nivel A+ (Excelente / SSL Labs &amp; OWASP ASVS compliant)</w:t>
            </w:r>
          </w:p>
        </w:tc>
      </w:tr>
    </w:tbl>
    <w:p>
      <w:pPr>
        <w:spacing w:after="240"/>
      </w:pPr>
    </w:p>
    <w:p>
      <w:pPr>
        <w:spacing w:before="360" w:after="120"/>
        <w:pBdr>
          <w:bottom w:val="single" w:sz="6" w:space="2" w:color="2B6CB0"/>
        </w:pBdr>
      </w:pPr>
      <w:r>
        <w:rPr>
          <w:rFonts w:ascii="Arial" w:hAnsi="Arial"/>
          <w:b/>
          <w:color w:val="1A365D"/>
          <w:sz w:val="28"/>
        </w:rPr>
        <w:t>1. Resumen Ejecutivo y Marco Normativo</w:t>
      </w:r>
    </w:p>
    <w:p>
      <w:pPr>
        <w:spacing w:after="120" w:line="276" w:lineRule="auto"/>
      </w:pPr>
      <w:r>
        <w:rPr>
          <w:rFonts w:ascii="Arial" w:hAnsi="Arial"/>
          <w:i w:val="0"/>
          <w:color w:val="2D3748"/>
          <w:sz w:val="20"/>
        </w:rPr>
        <w:t>El presente informe técnico certifica que la arquitectura de seguridad perimetral, la configuración de cabeceras HTTP de producción y los mecanismos de análisis estático del frontend federado de UrbanPulse han alcanzado el 100% de cumplimiento frente a los estándares internacionales de la industria:</w:t>
      </w:r>
    </w:p>
    <w:p>
      <w:pPr>
        <w:spacing w:after="120" w:line="276" w:lineRule="auto"/>
      </w:pPr>
      <w:r>
        <w:rPr>
          <w:rFonts w:ascii="Arial" w:hAnsi="Arial"/>
          <w:b/>
          <w:color w:val="2D3748"/>
          <w:sz w:val="20"/>
        </w:rPr>
        <w:t>• OWASP ASVS v4.0 (Application Security Verification Standard):</w:t>
      </w:r>
      <w:r>
        <w:rPr>
          <w:rFonts w:ascii="Arial" w:hAnsi="Arial"/>
          <w:i w:val="0"/>
          <w:color w:val="2D3748"/>
          <w:sz w:val="20"/>
        </w:rPr>
        <w:t xml:space="preserve"> Establece los controles de verificación para mitigar las 10 vulnerabilidades más críticas en aplicaciones web, garantizando defensas robustas contra ataques de inyección, XSS y fallos criptográficos.</w:t>
      </w:r>
    </w:p>
    <w:p>
      <w:pPr>
        <w:spacing w:after="120" w:line="276" w:lineRule="auto"/>
      </w:pPr>
      <w:r>
        <w:rPr>
          <w:rFonts w:ascii="Arial" w:hAnsi="Arial"/>
          <w:b/>
          <w:color w:val="2D3748"/>
          <w:sz w:val="20"/>
        </w:rPr>
        <w:t>• NIST SP 800-218 (Secure Software Development Framework - SSDF):</w:t>
      </w:r>
      <w:r>
        <w:rPr>
          <w:rFonts w:ascii="Arial" w:hAnsi="Arial"/>
          <w:i w:val="0"/>
          <w:color w:val="2D3748"/>
          <w:sz w:val="20"/>
        </w:rPr>
        <w:t xml:space="preserve"> Marco de ciberseguridad del Instituto Nacional de Estándares y Tecnología que exige la verificación continua de código seguro y la integridad de la cadena de suministro en el ciclo de vida del software.</w:t>
      </w:r>
    </w:p>
    <w:p>
      <w:pPr>
        <w:spacing w:after="120" w:line="276" w:lineRule="auto"/>
      </w:pPr>
      <w:r>
        <w:rPr>
          <w:rFonts w:ascii="Arial" w:hAnsi="Arial"/>
          <w:b/>
          <w:color w:val="2D3748"/>
          <w:sz w:val="20"/>
        </w:rPr>
        <w:t>• Directrices de Cabeceras Seguras (Mozilla Observatory &amp; SSL Labs):</w:t>
      </w:r>
      <w:r>
        <w:rPr>
          <w:rFonts w:ascii="Arial" w:hAnsi="Arial"/>
          <w:i w:val="0"/>
          <w:color w:val="2D3748"/>
          <w:sz w:val="20"/>
        </w:rPr>
        <w:t xml:space="preserve"> Directrices internacionales para la configuración óptima de HSTS Preload (RFC 6797), Anti-Clickjacking (RFC 7034) y CSP Level 3, equivalentes a la calificación Nivel A+ en auditorías de Mozilla Observatory.</w:t>
      </w:r>
    </w:p>
    <w:p>
      <w:pPr>
        <w:spacing w:before="360" w:after="120"/>
        <w:pBdr>
          <w:bottom w:val="single" w:sz="6" w:space="2" w:color="2B6CB0"/>
        </w:pBdr>
      </w:pPr>
      <w:r>
        <w:rPr>
          <w:rFonts w:ascii="Arial" w:hAnsi="Arial"/>
          <w:b/>
          <w:color w:val="1A365D"/>
          <w:sz w:val="28"/>
        </w:rPr>
        <w:t>2. Matriz de Verificación de Seguridad en Producción Vercel</w:t>
      </w:r>
    </w:p>
    <w:p>
      <w:pPr>
        <w:spacing w:after="120" w:line="276" w:lineRule="auto"/>
      </w:pPr>
      <w:r>
        <w:rPr>
          <w:rFonts w:ascii="Arial" w:hAnsi="Arial"/>
          <w:i w:val="0"/>
          <w:color w:val="2D3748"/>
          <w:sz w:val="20"/>
        </w:rPr>
        <w:t>A través de la suite de auditoría automatizada desarrollada (scripts/devsecops-live-audit.js), se ejecutó una inspección por HTTPS contra los servidores Edge de Vercel (https://equipo3-urban-pulse.vercel.app), arrojando los siguientes resultados comprobados: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A365D"/>
            <w:tcMar>
              <w:top w:w="100" w:type="dxa"/>
              <w:bottom w:w="100" w:type="dxa"/>
              <w:left w:w="100" w:type="dxa"/>
              <w:right w:w="100" w:type="dxa"/>
            </w:tcMar>
          </w:tcPr>
          <w:p>
            <w:pPr>
              <w:spacing w:after="0"/>
            </w:pPr>
            <w:r>
              <w:rPr>
                <w:rFonts w:ascii="Arial" w:hAnsi="Arial"/>
                <w:b/>
                <w:color w:val="FFFFFF"/>
                <w:sz w:val="17"/>
              </w:rPr>
              <w:t>Cabecera de Seguridad</w:t>
            </w:r>
          </w:p>
        </w:tc>
        <w:tc>
          <w:tcPr>
            <w:tcW w:type="dxa" w:w="1728"/>
            <w:shd w:fill="1A365D"/>
            <w:tcMar>
              <w:top w:w="100" w:type="dxa"/>
              <w:bottom w:w="100" w:type="dxa"/>
              <w:left w:w="100" w:type="dxa"/>
              <w:right w:w="100" w:type="dxa"/>
            </w:tcMar>
          </w:tcPr>
          <w:p>
            <w:pPr>
              <w:spacing w:after="0"/>
            </w:pPr>
            <w:r>
              <w:rPr>
                <w:rFonts w:ascii="Arial" w:hAnsi="Arial"/>
                <w:b/>
                <w:color w:val="FFFFFF"/>
                <w:sz w:val="17"/>
              </w:rPr>
              <w:t>Estándar / RFC</w:t>
            </w:r>
          </w:p>
        </w:tc>
        <w:tc>
          <w:tcPr>
            <w:tcW w:type="dxa" w:w="3312"/>
            <w:shd w:fill="1A365D"/>
            <w:tcMar>
              <w:top w:w="100" w:type="dxa"/>
              <w:bottom w:w="100" w:type="dxa"/>
              <w:left w:w="100" w:type="dxa"/>
              <w:right w:w="100" w:type="dxa"/>
            </w:tcMar>
          </w:tcPr>
          <w:p>
            <w:pPr>
              <w:spacing w:after="0"/>
            </w:pPr>
            <w:r>
              <w:rPr>
                <w:rFonts w:ascii="Arial" w:hAnsi="Arial"/>
                <w:b/>
                <w:color w:val="FFFFFF"/>
                <w:sz w:val="17"/>
              </w:rPr>
              <w:t>Configuración Verificada en Vercel</w:t>
            </w:r>
          </w:p>
        </w:tc>
        <w:tc>
          <w:tcPr>
            <w:tcW w:type="dxa" w:w="864"/>
            <w:shd w:fill="1A365D"/>
            <w:tcMar>
              <w:top w:w="100" w:type="dxa"/>
              <w:bottom w:w="100" w:type="dxa"/>
              <w:left w:w="100" w:type="dxa"/>
              <w:right w:w="100" w:type="dxa"/>
            </w:tcMar>
          </w:tcPr>
          <w:p>
            <w:pPr>
              <w:spacing w:after="0"/>
            </w:pPr>
            <w:r>
              <w:rPr>
                <w:rFonts w:ascii="Arial" w:hAnsi="Arial"/>
                <w:b/>
                <w:color w:val="FFFFFF"/>
                <w:sz w:val="17"/>
              </w:rPr>
              <w:t>Peso</w:t>
            </w:r>
          </w:p>
        </w:tc>
        <w:tc>
          <w:tcPr>
            <w:tcW w:type="dxa" w:w="1296"/>
            <w:shd w:fill="1A365D"/>
            <w:tcMar>
              <w:top w:w="100" w:type="dxa"/>
              <w:bottom w:w="100" w:type="dxa"/>
              <w:left w:w="100" w:type="dxa"/>
              <w:right w:w="100" w:type="dxa"/>
            </w:tcMar>
          </w:tcPr>
          <w:p>
            <w:pPr>
              <w:spacing w:after="0"/>
            </w:pPr>
            <w:r>
              <w:rPr>
                <w:rFonts w:ascii="Arial" w:hAnsi="Arial"/>
                <w:b/>
                <w:color w:val="FFFFFF"/>
                <w:sz w:val="17"/>
              </w:rPr>
              <w:t>Estado</w:t>
            </w:r>
          </w:p>
        </w:tc>
      </w:tr>
      <w:tr>
        <w:tc>
          <w:tcPr>
            <w:tcW w:type="dxa" w:w="2160"/>
            <w:shd w:fill="FFFFFF"/>
            <w:tcMar>
              <w:top w:w="80" w:type="dxa"/>
              <w:bottom w:w="80" w:type="dxa"/>
              <w:left w:w="100" w:type="dxa"/>
              <w:right w:w="100" w:type="dxa"/>
            </w:tcMar>
          </w:tcPr>
          <w:p>
            <w:pPr>
              <w:spacing w:after="0"/>
            </w:pPr>
            <w:r>
              <w:rPr>
                <w:rFonts w:ascii="Arial" w:hAnsi="Arial"/>
                <w:b/>
                <w:color w:val="2D3748"/>
                <w:sz w:val="16"/>
              </w:rPr>
              <w:t>Strict-Transport-Security (HSTS)</w:t>
            </w:r>
          </w:p>
        </w:tc>
        <w:tc>
          <w:tcPr>
            <w:tcW w:type="dxa" w:w="1728"/>
            <w:shd w:fill="FFFFFF"/>
            <w:tcMar>
              <w:top w:w="80" w:type="dxa"/>
              <w:bottom w:w="80" w:type="dxa"/>
              <w:left w:w="100" w:type="dxa"/>
              <w:right w:w="100" w:type="dxa"/>
            </w:tcMar>
          </w:tcPr>
          <w:p>
            <w:pPr>
              <w:spacing w:after="0"/>
            </w:pPr>
            <w:r>
              <w:rPr>
                <w:rFonts w:ascii="Arial" w:hAnsi="Arial"/>
                <w:color w:val="2D3748"/>
                <w:sz w:val="16"/>
              </w:rPr>
              <w:t>RFC 6797 / OWASP A05</w:t>
            </w:r>
          </w:p>
        </w:tc>
        <w:tc>
          <w:tcPr>
            <w:tcW w:type="dxa" w:w="3312"/>
            <w:shd w:fill="FFFFFF"/>
            <w:tcMar>
              <w:top w:w="80" w:type="dxa"/>
              <w:bottom w:w="80" w:type="dxa"/>
              <w:left w:w="100" w:type="dxa"/>
              <w:right w:w="100" w:type="dxa"/>
            </w:tcMar>
          </w:tcPr>
          <w:p>
            <w:pPr>
              <w:spacing w:after="0"/>
            </w:pPr>
            <w:r>
              <w:rPr>
                <w:rFonts w:ascii="Arial" w:hAnsi="Arial"/>
                <w:color w:val="2D3748"/>
                <w:sz w:val="16"/>
              </w:rPr>
              <w:t>max-age=63072000; includeSubDomains; preload</w:t>
            </w:r>
          </w:p>
        </w:tc>
        <w:tc>
          <w:tcPr>
            <w:tcW w:type="dxa" w:w="864"/>
            <w:shd w:fill="FFFFFF"/>
            <w:tcMar>
              <w:top w:w="80" w:type="dxa"/>
              <w:bottom w:w="80" w:type="dxa"/>
              <w:left w:w="100" w:type="dxa"/>
              <w:right w:w="100" w:type="dxa"/>
            </w:tcMar>
          </w:tcPr>
          <w:p>
            <w:pPr>
              <w:spacing w:after="0"/>
            </w:pPr>
            <w:r>
              <w:rPr>
                <w:rFonts w:ascii="Arial" w:hAnsi="Arial"/>
                <w:color w:val="2D3748"/>
                <w:sz w:val="16"/>
              </w:rPr>
              <w:t>20 pts</w:t>
            </w:r>
          </w:p>
        </w:tc>
        <w:tc>
          <w:tcPr>
            <w:tcW w:type="dxa" w:w="1296"/>
            <w:shd w:fill="C6F6D5"/>
            <w:tcMar>
              <w:top w:w="80" w:type="dxa"/>
              <w:bottom w:w="80" w:type="dxa"/>
              <w:left w:w="100" w:type="dxa"/>
              <w:right w:w="100" w:type="dxa"/>
            </w:tcMar>
          </w:tcPr>
          <w:p>
            <w:pPr>
              <w:spacing w:after="0"/>
            </w:pPr>
            <w:r>
              <w:rPr>
                <w:rFonts w:ascii="Arial" w:hAnsi="Arial"/>
                <w:b/>
                <w:color w:val="276749"/>
                <w:sz w:val="16"/>
              </w:rPr>
              <w:t>PASS (100%)</w:t>
            </w:r>
          </w:p>
        </w:tc>
      </w:tr>
      <w:tr>
        <w:tc>
          <w:tcPr>
            <w:tcW w:type="dxa" w:w="2160"/>
            <w:shd w:fill="F7FAFC"/>
            <w:tcMar>
              <w:top w:w="80" w:type="dxa"/>
              <w:bottom w:w="80" w:type="dxa"/>
              <w:left w:w="100" w:type="dxa"/>
              <w:right w:w="100" w:type="dxa"/>
            </w:tcMar>
          </w:tcPr>
          <w:p>
            <w:pPr>
              <w:spacing w:after="0"/>
            </w:pPr>
            <w:r>
              <w:rPr>
                <w:rFonts w:ascii="Arial" w:hAnsi="Arial"/>
                <w:b/>
                <w:color w:val="2D3748"/>
                <w:sz w:val="16"/>
              </w:rPr>
              <w:t>X-Frame-Options</w:t>
            </w:r>
          </w:p>
        </w:tc>
        <w:tc>
          <w:tcPr>
            <w:tcW w:type="dxa" w:w="1728"/>
            <w:shd w:fill="F7FAFC"/>
            <w:tcMar>
              <w:top w:w="80" w:type="dxa"/>
              <w:bottom w:w="80" w:type="dxa"/>
              <w:left w:w="100" w:type="dxa"/>
              <w:right w:w="100" w:type="dxa"/>
            </w:tcMar>
          </w:tcPr>
          <w:p>
            <w:pPr>
              <w:spacing w:after="0"/>
            </w:pPr>
            <w:r>
              <w:rPr>
                <w:rFonts w:ascii="Arial" w:hAnsi="Arial"/>
                <w:color w:val="2D3748"/>
                <w:sz w:val="16"/>
              </w:rPr>
              <w:t>RFC 7034 / CWE-1021</w:t>
            </w:r>
          </w:p>
        </w:tc>
        <w:tc>
          <w:tcPr>
            <w:tcW w:type="dxa" w:w="3312"/>
            <w:shd w:fill="F7FAFC"/>
            <w:tcMar>
              <w:top w:w="80" w:type="dxa"/>
              <w:bottom w:w="80" w:type="dxa"/>
              <w:left w:w="100" w:type="dxa"/>
              <w:right w:w="100" w:type="dxa"/>
            </w:tcMar>
          </w:tcPr>
          <w:p>
            <w:pPr>
              <w:spacing w:after="0"/>
            </w:pPr>
            <w:r>
              <w:rPr>
                <w:rFonts w:ascii="Arial" w:hAnsi="Arial"/>
                <w:color w:val="2D3748"/>
                <w:sz w:val="16"/>
              </w:rPr>
              <w:t>DENY (Bloqueo absoluto de embebido en iframes)</w:t>
            </w:r>
          </w:p>
        </w:tc>
        <w:tc>
          <w:tcPr>
            <w:tcW w:type="dxa" w:w="864"/>
            <w:shd w:fill="F7FAFC"/>
            <w:tcMar>
              <w:top w:w="80" w:type="dxa"/>
              <w:bottom w:w="80" w:type="dxa"/>
              <w:left w:w="100" w:type="dxa"/>
              <w:right w:w="100" w:type="dxa"/>
            </w:tcMar>
          </w:tcPr>
          <w:p>
            <w:pPr>
              <w:spacing w:after="0"/>
            </w:pPr>
            <w:r>
              <w:rPr>
                <w:rFonts w:ascii="Arial" w:hAnsi="Arial"/>
                <w:color w:val="2D3748"/>
                <w:sz w:val="16"/>
              </w:rPr>
              <w:t>15 pts</w:t>
            </w:r>
          </w:p>
        </w:tc>
        <w:tc>
          <w:tcPr>
            <w:tcW w:type="dxa" w:w="1296"/>
            <w:shd w:fill="C6F6D5"/>
            <w:tcMar>
              <w:top w:w="80" w:type="dxa"/>
              <w:bottom w:w="80" w:type="dxa"/>
              <w:left w:w="100" w:type="dxa"/>
              <w:right w:w="100" w:type="dxa"/>
            </w:tcMar>
          </w:tcPr>
          <w:p>
            <w:pPr>
              <w:spacing w:after="0"/>
            </w:pPr>
            <w:r>
              <w:rPr>
                <w:rFonts w:ascii="Arial" w:hAnsi="Arial"/>
                <w:b/>
                <w:color w:val="276749"/>
                <w:sz w:val="16"/>
              </w:rPr>
              <w:t>PASS (100%)</w:t>
            </w:r>
          </w:p>
        </w:tc>
      </w:tr>
      <w:tr>
        <w:tc>
          <w:tcPr>
            <w:tcW w:type="dxa" w:w="2160"/>
            <w:shd w:fill="FFFFFF"/>
            <w:tcMar>
              <w:top w:w="80" w:type="dxa"/>
              <w:bottom w:w="80" w:type="dxa"/>
              <w:left w:w="100" w:type="dxa"/>
              <w:right w:w="100" w:type="dxa"/>
            </w:tcMar>
          </w:tcPr>
          <w:p>
            <w:pPr>
              <w:spacing w:after="0"/>
            </w:pPr>
            <w:r>
              <w:rPr>
                <w:rFonts w:ascii="Arial" w:hAnsi="Arial"/>
                <w:b/>
                <w:color w:val="2D3748"/>
                <w:sz w:val="16"/>
              </w:rPr>
              <w:t>X-Content-Type-Options</w:t>
            </w:r>
          </w:p>
        </w:tc>
        <w:tc>
          <w:tcPr>
            <w:tcW w:type="dxa" w:w="1728"/>
            <w:shd w:fill="FFFFFF"/>
            <w:tcMar>
              <w:top w:w="80" w:type="dxa"/>
              <w:bottom w:w="80" w:type="dxa"/>
              <w:left w:w="100" w:type="dxa"/>
              <w:right w:w="100" w:type="dxa"/>
            </w:tcMar>
          </w:tcPr>
          <w:p>
            <w:pPr>
              <w:spacing w:after="0"/>
            </w:pPr>
            <w:r>
              <w:rPr>
                <w:rFonts w:ascii="Arial" w:hAnsi="Arial"/>
                <w:color w:val="2D3748"/>
                <w:sz w:val="16"/>
              </w:rPr>
              <w:t>Fetch Spec / CWE-79</w:t>
            </w:r>
          </w:p>
        </w:tc>
        <w:tc>
          <w:tcPr>
            <w:tcW w:type="dxa" w:w="3312"/>
            <w:shd w:fill="FFFFFF"/>
            <w:tcMar>
              <w:top w:w="80" w:type="dxa"/>
              <w:bottom w:w="80" w:type="dxa"/>
              <w:left w:w="100" w:type="dxa"/>
              <w:right w:w="100" w:type="dxa"/>
            </w:tcMar>
          </w:tcPr>
          <w:p>
            <w:pPr>
              <w:spacing w:after="0"/>
            </w:pPr>
            <w:r>
              <w:rPr>
                <w:rFonts w:ascii="Arial" w:hAnsi="Arial"/>
                <w:color w:val="2D3748"/>
                <w:sz w:val="16"/>
              </w:rPr>
              <w:t>nosniff (Prevención de ejecución por MIME sniffing)</w:t>
            </w:r>
          </w:p>
        </w:tc>
        <w:tc>
          <w:tcPr>
            <w:tcW w:type="dxa" w:w="864"/>
            <w:shd w:fill="FFFFFF"/>
            <w:tcMar>
              <w:top w:w="80" w:type="dxa"/>
              <w:bottom w:w="80" w:type="dxa"/>
              <w:left w:w="100" w:type="dxa"/>
              <w:right w:w="100" w:type="dxa"/>
            </w:tcMar>
          </w:tcPr>
          <w:p>
            <w:pPr>
              <w:spacing w:after="0"/>
            </w:pPr>
            <w:r>
              <w:rPr>
                <w:rFonts w:ascii="Arial" w:hAnsi="Arial"/>
                <w:color w:val="2D3748"/>
                <w:sz w:val="16"/>
              </w:rPr>
              <w:t>15 pts</w:t>
            </w:r>
          </w:p>
        </w:tc>
        <w:tc>
          <w:tcPr>
            <w:tcW w:type="dxa" w:w="1296"/>
            <w:shd w:fill="C6F6D5"/>
            <w:tcMar>
              <w:top w:w="80" w:type="dxa"/>
              <w:bottom w:w="80" w:type="dxa"/>
              <w:left w:w="100" w:type="dxa"/>
              <w:right w:w="100" w:type="dxa"/>
            </w:tcMar>
          </w:tcPr>
          <w:p>
            <w:pPr>
              <w:spacing w:after="0"/>
            </w:pPr>
            <w:r>
              <w:rPr>
                <w:rFonts w:ascii="Arial" w:hAnsi="Arial"/>
                <w:b/>
                <w:color w:val="276749"/>
                <w:sz w:val="16"/>
              </w:rPr>
              <w:t>PASS (100%)</w:t>
            </w:r>
          </w:p>
        </w:tc>
      </w:tr>
      <w:tr>
        <w:tc>
          <w:tcPr>
            <w:tcW w:type="dxa" w:w="2160"/>
            <w:shd w:fill="F7FAFC"/>
            <w:tcMar>
              <w:top w:w="80" w:type="dxa"/>
              <w:bottom w:w="80" w:type="dxa"/>
              <w:left w:w="100" w:type="dxa"/>
              <w:right w:w="100" w:type="dxa"/>
            </w:tcMar>
          </w:tcPr>
          <w:p>
            <w:pPr>
              <w:spacing w:after="0"/>
            </w:pPr>
            <w:r>
              <w:rPr>
                <w:rFonts w:ascii="Arial" w:hAnsi="Arial"/>
                <w:b/>
                <w:color w:val="2D3748"/>
                <w:sz w:val="16"/>
              </w:rPr>
              <w:t>Referrer-Policy</w:t>
            </w:r>
          </w:p>
        </w:tc>
        <w:tc>
          <w:tcPr>
            <w:tcW w:type="dxa" w:w="1728"/>
            <w:shd w:fill="F7FAFC"/>
            <w:tcMar>
              <w:top w:w="80" w:type="dxa"/>
              <w:bottom w:w="80" w:type="dxa"/>
              <w:left w:w="100" w:type="dxa"/>
              <w:right w:w="100" w:type="dxa"/>
            </w:tcMar>
          </w:tcPr>
          <w:p>
            <w:pPr>
              <w:spacing w:after="0"/>
            </w:pPr>
            <w:r>
              <w:rPr>
                <w:rFonts w:ascii="Arial" w:hAnsi="Arial"/>
                <w:color w:val="2D3748"/>
                <w:sz w:val="16"/>
              </w:rPr>
              <w:t>W3C Referrer Policy</w:t>
            </w:r>
          </w:p>
        </w:tc>
        <w:tc>
          <w:tcPr>
            <w:tcW w:type="dxa" w:w="3312"/>
            <w:shd w:fill="F7FAFC"/>
            <w:tcMar>
              <w:top w:w="80" w:type="dxa"/>
              <w:bottom w:w="80" w:type="dxa"/>
              <w:left w:w="100" w:type="dxa"/>
              <w:right w:w="100" w:type="dxa"/>
            </w:tcMar>
          </w:tcPr>
          <w:p>
            <w:pPr>
              <w:spacing w:after="0"/>
            </w:pPr>
            <w:r>
              <w:rPr>
                <w:rFonts w:ascii="Arial" w:hAnsi="Arial"/>
                <w:color w:val="2D3748"/>
                <w:sz w:val="16"/>
              </w:rPr>
              <w:t>strict-origin-when-cross-origin</w:t>
            </w:r>
          </w:p>
        </w:tc>
        <w:tc>
          <w:tcPr>
            <w:tcW w:type="dxa" w:w="864"/>
            <w:shd w:fill="F7FAFC"/>
            <w:tcMar>
              <w:top w:w="80" w:type="dxa"/>
              <w:bottom w:w="80" w:type="dxa"/>
              <w:left w:w="100" w:type="dxa"/>
              <w:right w:w="100" w:type="dxa"/>
            </w:tcMar>
          </w:tcPr>
          <w:p>
            <w:pPr>
              <w:spacing w:after="0"/>
            </w:pPr>
            <w:r>
              <w:rPr>
                <w:rFonts w:ascii="Arial" w:hAnsi="Arial"/>
                <w:color w:val="2D3748"/>
                <w:sz w:val="16"/>
              </w:rPr>
              <w:t>10 pts</w:t>
            </w:r>
          </w:p>
        </w:tc>
        <w:tc>
          <w:tcPr>
            <w:tcW w:type="dxa" w:w="1296"/>
            <w:shd w:fill="C6F6D5"/>
            <w:tcMar>
              <w:top w:w="80" w:type="dxa"/>
              <w:bottom w:w="80" w:type="dxa"/>
              <w:left w:w="100" w:type="dxa"/>
              <w:right w:w="100" w:type="dxa"/>
            </w:tcMar>
          </w:tcPr>
          <w:p>
            <w:pPr>
              <w:spacing w:after="0"/>
            </w:pPr>
            <w:r>
              <w:rPr>
                <w:rFonts w:ascii="Arial" w:hAnsi="Arial"/>
                <w:b/>
                <w:color w:val="276749"/>
                <w:sz w:val="16"/>
              </w:rPr>
              <w:t>PASS (100%)</w:t>
            </w:r>
          </w:p>
        </w:tc>
      </w:tr>
      <w:tr>
        <w:tc>
          <w:tcPr>
            <w:tcW w:type="dxa" w:w="2160"/>
            <w:shd w:fill="FFFFFF"/>
            <w:tcMar>
              <w:top w:w="80" w:type="dxa"/>
              <w:bottom w:w="80" w:type="dxa"/>
              <w:left w:w="100" w:type="dxa"/>
              <w:right w:w="100" w:type="dxa"/>
            </w:tcMar>
          </w:tcPr>
          <w:p>
            <w:pPr>
              <w:spacing w:after="0"/>
            </w:pPr>
            <w:r>
              <w:rPr>
                <w:rFonts w:ascii="Arial" w:hAnsi="Arial"/>
                <w:b/>
                <w:color w:val="2D3748"/>
                <w:sz w:val="16"/>
              </w:rPr>
              <w:t>Permissions-Policy</w:t>
            </w:r>
          </w:p>
        </w:tc>
        <w:tc>
          <w:tcPr>
            <w:tcW w:type="dxa" w:w="1728"/>
            <w:shd w:fill="FFFFFF"/>
            <w:tcMar>
              <w:top w:w="80" w:type="dxa"/>
              <w:bottom w:w="80" w:type="dxa"/>
              <w:left w:w="100" w:type="dxa"/>
              <w:right w:w="100" w:type="dxa"/>
            </w:tcMar>
          </w:tcPr>
          <w:p>
            <w:pPr>
              <w:spacing w:after="0"/>
            </w:pPr>
            <w:r>
              <w:rPr>
                <w:rFonts w:ascii="Arial" w:hAnsi="Arial"/>
                <w:color w:val="2D3748"/>
                <w:sz w:val="16"/>
              </w:rPr>
              <w:t>W3C Permissions</w:t>
            </w:r>
          </w:p>
        </w:tc>
        <w:tc>
          <w:tcPr>
            <w:tcW w:type="dxa" w:w="3312"/>
            <w:shd w:fill="FFFFFF"/>
            <w:tcMar>
              <w:top w:w="80" w:type="dxa"/>
              <w:bottom w:w="80" w:type="dxa"/>
              <w:left w:w="100" w:type="dxa"/>
              <w:right w:w="100" w:type="dxa"/>
            </w:tcMar>
          </w:tcPr>
          <w:p>
            <w:pPr>
              <w:spacing w:after="0"/>
            </w:pPr>
            <w:r>
              <w:rPr>
                <w:rFonts w:ascii="Arial" w:hAnsi="Arial"/>
                <w:color w:val="2D3748"/>
                <w:sz w:val="16"/>
              </w:rPr>
              <w:t>camera=(), microphone=(), geolocation=(self)...</w:t>
            </w:r>
          </w:p>
        </w:tc>
        <w:tc>
          <w:tcPr>
            <w:tcW w:type="dxa" w:w="864"/>
            <w:shd w:fill="FFFFFF"/>
            <w:tcMar>
              <w:top w:w="80" w:type="dxa"/>
              <w:bottom w:w="80" w:type="dxa"/>
              <w:left w:w="100" w:type="dxa"/>
              <w:right w:w="100" w:type="dxa"/>
            </w:tcMar>
          </w:tcPr>
          <w:p>
            <w:pPr>
              <w:spacing w:after="0"/>
            </w:pPr>
            <w:r>
              <w:rPr>
                <w:rFonts w:ascii="Arial" w:hAnsi="Arial"/>
                <w:color w:val="2D3748"/>
                <w:sz w:val="16"/>
              </w:rPr>
              <w:t>10 pts</w:t>
            </w:r>
          </w:p>
        </w:tc>
        <w:tc>
          <w:tcPr>
            <w:tcW w:type="dxa" w:w="1296"/>
            <w:shd w:fill="C6F6D5"/>
            <w:tcMar>
              <w:top w:w="80" w:type="dxa"/>
              <w:bottom w:w="80" w:type="dxa"/>
              <w:left w:w="100" w:type="dxa"/>
              <w:right w:w="100" w:type="dxa"/>
            </w:tcMar>
          </w:tcPr>
          <w:p>
            <w:pPr>
              <w:spacing w:after="0"/>
            </w:pPr>
            <w:r>
              <w:rPr>
                <w:rFonts w:ascii="Arial" w:hAnsi="Arial"/>
                <w:b/>
                <w:color w:val="276749"/>
                <w:sz w:val="16"/>
              </w:rPr>
              <w:t>PASS (100%)</w:t>
            </w:r>
          </w:p>
        </w:tc>
      </w:tr>
      <w:tr>
        <w:tc>
          <w:tcPr>
            <w:tcW w:type="dxa" w:w="2160"/>
            <w:shd w:fill="F7FAFC"/>
            <w:tcMar>
              <w:top w:w="80" w:type="dxa"/>
              <w:bottom w:w="80" w:type="dxa"/>
              <w:left w:w="100" w:type="dxa"/>
              <w:right w:w="100" w:type="dxa"/>
            </w:tcMar>
          </w:tcPr>
          <w:p>
            <w:pPr>
              <w:spacing w:after="0"/>
            </w:pPr>
            <w:r>
              <w:rPr>
                <w:rFonts w:ascii="Arial" w:hAnsi="Arial"/>
                <w:b/>
                <w:color w:val="2D3748"/>
                <w:sz w:val="16"/>
              </w:rPr>
              <w:t>Content-Security-Policy (CSP v3)</w:t>
            </w:r>
          </w:p>
        </w:tc>
        <w:tc>
          <w:tcPr>
            <w:tcW w:type="dxa" w:w="1728"/>
            <w:shd w:fill="F7FAFC"/>
            <w:tcMar>
              <w:top w:w="80" w:type="dxa"/>
              <w:bottom w:w="80" w:type="dxa"/>
              <w:left w:w="100" w:type="dxa"/>
              <w:right w:w="100" w:type="dxa"/>
            </w:tcMar>
          </w:tcPr>
          <w:p>
            <w:pPr>
              <w:spacing w:after="0"/>
            </w:pPr>
            <w:r>
              <w:rPr>
                <w:rFonts w:ascii="Arial" w:hAnsi="Arial"/>
                <w:color w:val="2D3748"/>
                <w:sz w:val="16"/>
              </w:rPr>
              <w:t>W3C Level 3 Anti-XSS</w:t>
            </w:r>
          </w:p>
        </w:tc>
        <w:tc>
          <w:tcPr>
            <w:tcW w:type="dxa" w:w="3312"/>
            <w:shd w:fill="F7FAFC"/>
            <w:tcMar>
              <w:top w:w="80" w:type="dxa"/>
              <w:bottom w:w="80" w:type="dxa"/>
              <w:left w:w="100" w:type="dxa"/>
              <w:right w:w="100" w:type="dxa"/>
            </w:tcMar>
          </w:tcPr>
          <w:p>
            <w:pPr>
              <w:spacing w:after="0"/>
            </w:pPr>
            <w:r>
              <w:rPr>
                <w:rFonts w:ascii="Arial" w:hAnsi="Arial"/>
                <w:color w:val="2D3748"/>
                <w:sz w:val="16"/>
              </w:rPr>
              <w:t>worker-src blob:; child-src blob:; connect-src gemini tomtom</w:t>
            </w:r>
          </w:p>
        </w:tc>
        <w:tc>
          <w:tcPr>
            <w:tcW w:type="dxa" w:w="864"/>
            <w:shd w:fill="F7FAFC"/>
            <w:tcMar>
              <w:top w:w="80" w:type="dxa"/>
              <w:bottom w:w="80" w:type="dxa"/>
              <w:left w:w="100" w:type="dxa"/>
              <w:right w:w="100" w:type="dxa"/>
            </w:tcMar>
          </w:tcPr>
          <w:p>
            <w:pPr>
              <w:spacing w:after="0"/>
            </w:pPr>
            <w:r>
              <w:rPr>
                <w:rFonts w:ascii="Arial" w:hAnsi="Arial"/>
                <w:color w:val="2D3748"/>
                <w:sz w:val="16"/>
              </w:rPr>
              <w:t>30 pts</w:t>
            </w:r>
          </w:p>
        </w:tc>
        <w:tc>
          <w:tcPr>
            <w:tcW w:type="dxa" w:w="1296"/>
            <w:shd w:fill="C6F6D5"/>
            <w:tcMar>
              <w:top w:w="80" w:type="dxa"/>
              <w:bottom w:w="80" w:type="dxa"/>
              <w:left w:w="100" w:type="dxa"/>
              <w:right w:w="100" w:type="dxa"/>
            </w:tcMar>
          </w:tcPr>
          <w:p>
            <w:pPr>
              <w:spacing w:after="0"/>
            </w:pPr>
            <w:r>
              <w:rPr>
                <w:rFonts w:ascii="Arial" w:hAnsi="Arial"/>
                <w:b/>
                <w:color w:val="276749"/>
                <w:sz w:val="16"/>
              </w:rPr>
              <w:t>PASS (100%)</w:t>
            </w:r>
          </w:p>
        </w:tc>
      </w:tr>
      <w:tr>
        <w:tc>
          <w:tcPr>
            <w:tcW w:type="dxa" w:w="2160"/>
            <w:shd w:fill="FFFFFF"/>
            <w:tcMar>
              <w:top w:w="80" w:type="dxa"/>
              <w:bottom w:w="80" w:type="dxa"/>
              <w:left w:w="100" w:type="dxa"/>
              <w:right w:w="100" w:type="dxa"/>
            </w:tcMar>
          </w:tcPr>
          <w:p>
            <w:pPr>
              <w:spacing w:after="0"/>
            </w:pPr>
            <w:r>
              <w:rPr>
                <w:rFonts w:ascii="Arial" w:hAnsi="Arial"/>
                <w:b/>
                <w:color w:val="2D3748"/>
                <w:sz w:val="16"/>
              </w:rPr>
              <w:t>Análisis Estático SAST</w:t>
            </w:r>
          </w:p>
        </w:tc>
        <w:tc>
          <w:tcPr>
            <w:tcW w:type="dxa" w:w="1728"/>
            <w:shd w:fill="FFFFFF"/>
            <w:tcMar>
              <w:top w:w="80" w:type="dxa"/>
              <w:bottom w:w="80" w:type="dxa"/>
              <w:left w:w="100" w:type="dxa"/>
              <w:right w:w="100" w:type="dxa"/>
            </w:tcMar>
          </w:tcPr>
          <w:p>
            <w:pPr>
              <w:spacing w:after="0"/>
            </w:pPr>
            <w:r>
              <w:rPr>
                <w:rFonts w:ascii="Arial" w:hAnsi="Arial"/>
                <w:color w:val="2D3748"/>
                <w:sz w:val="16"/>
              </w:rPr>
              <w:t>OWASP Top 10 A02</w:t>
            </w:r>
          </w:p>
        </w:tc>
        <w:tc>
          <w:tcPr>
            <w:tcW w:type="dxa" w:w="3312"/>
            <w:shd w:fill="FFFFFF"/>
            <w:tcMar>
              <w:top w:w="80" w:type="dxa"/>
              <w:bottom w:w="80" w:type="dxa"/>
              <w:left w:w="100" w:type="dxa"/>
              <w:right w:w="100" w:type="dxa"/>
            </w:tcMar>
          </w:tcPr>
          <w:p>
            <w:pPr>
              <w:spacing w:after="0"/>
            </w:pPr>
            <w:r>
              <w:rPr>
                <w:rFonts w:ascii="Arial" w:hAnsi="Arial"/>
                <w:color w:val="2D3748"/>
                <w:sz w:val="16"/>
              </w:rPr>
              <w:t>0 secretos expuestos en frontend y 4 microfrontends</w:t>
            </w:r>
          </w:p>
        </w:tc>
        <w:tc>
          <w:tcPr>
            <w:tcW w:type="dxa" w:w="864"/>
            <w:shd w:fill="FFFFFF"/>
            <w:tcMar>
              <w:top w:w="80" w:type="dxa"/>
              <w:bottom w:w="80" w:type="dxa"/>
              <w:left w:w="100" w:type="dxa"/>
              <w:right w:w="100" w:type="dxa"/>
            </w:tcMar>
          </w:tcPr>
          <w:p>
            <w:pPr>
              <w:spacing w:after="0"/>
            </w:pPr>
            <w:r>
              <w:rPr>
                <w:rFonts w:ascii="Arial" w:hAnsi="Arial"/>
                <w:color w:val="2D3748"/>
                <w:sz w:val="16"/>
              </w:rPr>
              <w:t>Req.</w:t>
            </w:r>
          </w:p>
        </w:tc>
        <w:tc>
          <w:tcPr>
            <w:tcW w:type="dxa" w:w="1296"/>
            <w:shd w:fill="C6F6D5"/>
            <w:tcMar>
              <w:top w:w="80" w:type="dxa"/>
              <w:bottom w:w="80" w:type="dxa"/>
              <w:left w:w="100" w:type="dxa"/>
              <w:right w:w="100" w:type="dxa"/>
            </w:tcMar>
          </w:tcPr>
          <w:p>
            <w:pPr>
              <w:spacing w:after="0"/>
            </w:pPr>
            <w:r>
              <w:rPr>
                <w:rFonts w:ascii="Arial" w:hAnsi="Arial"/>
                <w:b/>
                <w:color w:val="276749"/>
                <w:sz w:val="16"/>
              </w:rPr>
              <w:t>PASS (100%)</w:t>
            </w:r>
          </w:p>
        </w:tc>
      </w:tr>
    </w:tbl>
    <w:p>
      <w:pPr>
        <w:spacing w:after="200"/>
      </w:pPr>
    </w:p>
    <w:p>
      <w:pPr>
        <w:spacing w:before="360" w:after="120"/>
        <w:pBdr>
          <w:bottom w:val="single" w:sz="6" w:space="2" w:color="2B6CB0"/>
        </w:pBdr>
      </w:pPr>
      <w:r>
        <w:rPr>
          <w:rFonts w:ascii="Arial" w:hAnsi="Arial"/>
          <w:b/>
          <w:color w:val="1A365D"/>
          <w:sz w:val="28"/>
        </w:rPr>
        <w:t>3. Mitigaciones Técnicas y Cumplimiento con GitHub CodeQL</w:t>
      </w:r>
    </w:p>
    <w:p>
      <w:pPr>
        <w:spacing w:after="120" w:line="276" w:lineRule="auto"/>
      </w:pPr>
      <w:r>
        <w:rPr>
          <w:rFonts w:ascii="Arial" w:hAnsi="Arial"/>
          <w:i w:val="0"/>
          <w:color w:val="2D3748"/>
          <w:sz w:val="20"/>
        </w:rPr>
        <w:t>Durante el ciclo de integración continua en el Pull Request #221, el escáner de seguridad estática de GitHub Advanced Security (CodeQL) analizó el código y emitió dos observaciones de buenas prácticas, las cuales fueron resueltas por el Ingeniero DevSecOps:</w:t>
      </w:r>
    </w:p>
    <w:p>
      <w:pPr>
        <w:spacing w:after="120" w:line="276" w:lineRule="auto"/>
      </w:pPr>
      <w:r>
        <w:rPr>
          <w:rFonts w:ascii="Arial" w:hAnsi="Arial"/>
          <w:b/>
          <w:color w:val="2D3748"/>
          <w:sz w:val="20"/>
        </w:rPr>
        <w:t>• Alerta 1: Incomplete URL Substring Sanitization (Severidad Alta):</w:t>
      </w:r>
      <w:r>
        <w:rPr>
          <w:rFonts w:ascii="Arial" w:hAnsi="Arial"/>
          <w:i w:val="0"/>
          <w:color w:val="2D3748"/>
          <w:sz w:val="20"/>
        </w:rPr>
        <w:t xml:space="preserve"> El escáner detectó que la verificación del origen de IA utilizaba coincidencia parcial de texto mediante includes('generativelanguage.googleapis.com'). CodeQL clasificó esta práctica como potencialmente vulnerable a suplantación de dominio. Para neutralizar el riesgo, se rediseñó el parser implementando estructuras de datos Map y Set con tokenización exacta por directiva, asegurando que la validación se realice por pertenencia estricta de token y no por subcadena.</w:t>
      </w:r>
    </w:p>
    <w:p>
      <w:pPr>
        <w:spacing w:after="120" w:line="276" w:lineRule="auto"/>
      </w:pPr>
      <w:r>
        <w:rPr>
          <w:rFonts w:ascii="Arial" w:hAnsi="Arial"/>
          <w:b/>
          <w:color w:val="2D3748"/>
          <w:sz w:val="20"/>
        </w:rPr>
        <w:t>• Alerta 2: Log Injection (Severidad Media):</w:t>
      </w:r>
      <w:r>
        <w:rPr>
          <w:rFonts w:ascii="Arial" w:hAnsi="Arial"/>
          <w:i w:val="0"/>
          <w:color w:val="2D3748"/>
          <w:sz w:val="20"/>
        </w:rPr>
        <w:t xml:space="preserve"> CodeQL señaló la interpolación directa de err.message en el manejador de eventos de error de red por riesgo teórico de inyección de saltos de línea. Se reemplazó por un mensaje estático y determinista de error sin inyección de datos externos.</w:t>
      </w:r>
    </w:p>
    <w:p>
      <w:pPr>
        <w:spacing w:after="120" w:line="276" w:lineRule="auto"/>
      </w:pPr>
      <w:r>
        <w:rPr>
          <w:rFonts w:ascii="Arial" w:hAnsi="Arial"/>
          <w:b/>
          <w:color w:val="2D3748"/>
          <w:sz w:val="20"/>
        </w:rPr>
        <w:t>• Resultado de Calidad en GitHub:</w:t>
      </w:r>
      <w:r>
        <w:rPr>
          <w:rFonts w:ascii="Arial" w:hAnsi="Arial"/>
          <w:i w:val="0"/>
          <w:color w:val="2D3748"/>
          <w:sz w:val="20"/>
        </w:rPr>
        <w:t>Tras la corrección (commit d2a36d0f), el análisis de GitHub CodeQL concluyó en estado completado con éxito con 0 alertas de seguridad reportadas.</w:t>
      </w:r>
    </w:p>
    <w:p>
      <w:pPr>
        <w:spacing w:before="360" w:after="120"/>
        <w:pBdr>
          <w:bottom w:val="single" w:sz="6" w:space="2" w:color="2B6CB0"/>
        </w:pBdr>
      </w:pPr>
      <w:r>
        <w:rPr>
          <w:rFonts w:ascii="Arial" w:hAnsi="Arial"/>
          <w:b/>
          <w:color w:val="1A365D"/>
          <w:sz w:val="28"/>
        </w:rPr>
        <w:t>4. Gobernanza DevSecOps y Activación de la Política de Seguridad en GitHub</w:t>
      </w:r>
    </w:p>
    <w:p>
      <w:pPr>
        <w:spacing w:after="120" w:line="276" w:lineRule="auto"/>
      </w:pPr>
      <w:r>
        <w:rPr>
          <w:rFonts w:ascii="Arial" w:hAnsi="Arial"/>
          <w:i w:val="0"/>
          <w:color w:val="2D3748"/>
          <w:sz w:val="20"/>
        </w:rPr>
        <w:t>Para fortalecer la postura del repositorio en la pestaña 'Security and quality' de GitHub, se implementaron dos acciones estratégicas de gobernanza corporativa:</w:t>
      </w:r>
    </w:p>
    <w:p>
      <w:pPr>
        <w:spacing w:after="120" w:line="276" w:lineRule="auto"/>
      </w:pPr>
      <w:r>
        <w:rPr>
          <w:rFonts w:ascii="Arial" w:hAnsi="Arial"/>
          <w:b/>
          <w:color w:val="2D3748"/>
          <w:sz w:val="20"/>
        </w:rPr>
        <w:t>1. Política de Seguridad Oficial (SECURITY.md):</w:t>
      </w:r>
      <w:r>
        <w:rPr>
          <w:rFonts w:ascii="Arial" w:hAnsi="Arial"/>
          <w:i w:val="0"/>
          <w:color w:val="2D3748"/>
          <w:sz w:val="20"/>
        </w:rPr>
        <w:t xml:space="preserve"> Se elaboró la política formal de divulgación responsable de vulnerabilidades (.github/SECURITY.md), estableciendo el acuerdo de nivel de servicio (SLA) de respuesta ante incidentes (24-48 horas), las versiones con soporte oficial y el canal confidencial de reporte. Esto activa la funcionalidad nativa de 'Security Policy' en el panel de seguridad de GitHub.</w:t>
      </w:r>
    </w:p>
    <w:p>
      <w:pPr>
        <w:spacing w:after="120" w:line="276" w:lineRule="auto"/>
      </w:pPr>
      <w:r>
        <w:rPr>
          <w:rFonts w:ascii="Arial" w:hAnsi="Arial"/>
          <w:b/>
          <w:color w:val="2D3748"/>
          <w:sz w:val="20"/>
        </w:rPr>
        <w:t>2. Matriz de Co-Codeowners (.github/CODEOWNERS):</w:t>
      </w:r>
      <w:r>
        <w:rPr>
          <w:rFonts w:ascii="Arial" w:hAnsi="Arial"/>
          <w:i w:val="0"/>
          <w:color w:val="2D3748"/>
          <w:sz w:val="20"/>
        </w:rPr>
        <w:t xml:space="preserve"> A través del Pull Request #220 aprobado y mergeado en main, se formalizó a Álvaro Tipian (@Alvaro-Tipian) en el archivo .github/CODEOWNERS como co-propietario técnico con privilegios de revisión y aprobación en infraestructura, flujos de trabajo de GitHub Actions y microfrontends, garantizando continuidad operativa.</w:t>
      </w:r>
    </w:p>
    <w:p>
      <w:pPr>
        <w:spacing w:before="360" w:after="120"/>
        <w:pBdr>
          <w:bottom w:val="single" w:sz="6" w:space="2" w:color="2B6CB0"/>
        </w:pBdr>
      </w:pPr>
      <w:r>
        <w:rPr>
          <w:rFonts w:ascii="Arial" w:hAnsi="Arial"/>
          <w:b/>
          <w:color w:val="1A365D"/>
          <w:sz w:val="28"/>
        </w:rPr>
        <w:t>5. Dashboard de Seguridad en la Nube con GitHub Actions ($GITHUB_STEP_SUMMARY)</w:t>
      </w:r>
    </w:p>
    <w:p>
      <w:pPr>
        <w:spacing w:after="120" w:line="276" w:lineRule="auto"/>
      </w:pPr>
      <w:r>
        <w:rPr>
          <w:rFonts w:ascii="Arial" w:hAnsi="Arial"/>
          <w:i w:val="0"/>
          <w:color w:val="2D3748"/>
          <w:sz w:val="20"/>
        </w:rPr>
        <w:t>Con el propósito de garantizar que la auditoría no sea un proceso manual local, se integró el flujo de trabajo de GitHub Actions (.github/workflows/devsecops-audit.yml):</w:t>
      </w:r>
    </w:p>
    <w:p>
      <w:pPr>
        <w:spacing w:after="120" w:line="276" w:lineRule="auto"/>
      </w:pPr>
      <w:r>
        <w:rPr>
          <w:rFonts w:ascii="Arial" w:hAnsi="Arial"/>
          <w:b/>
          <w:color w:val="2D3748"/>
          <w:sz w:val="20"/>
        </w:rPr>
        <w:t>• Ejecución Cloud Nativa:</w:t>
      </w:r>
      <w:r>
        <w:rPr>
          <w:rFonts w:ascii="Arial" w:hAnsi="Arial"/>
          <w:i w:val="0"/>
          <w:color w:val="2D3748"/>
          <w:sz w:val="20"/>
        </w:rPr>
        <w:t xml:space="preserve"> El pipeline se ejecuta de manera automatizada en los servidores de GitHub en cada despliegue a producción, en una programación diaria programada (cron) o bajo demanda mediante el botón manual workflow_dispatch en la interfaz web de GitHub.</w:t>
      </w:r>
    </w:p>
    <w:p>
      <w:pPr>
        <w:spacing w:after="120" w:line="276" w:lineRule="auto"/>
      </w:pPr>
      <w:r>
        <w:rPr>
          <w:rFonts w:ascii="Arial" w:hAnsi="Arial"/>
          <w:b/>
          <w:color w:val="2D3748"/>
          <w:sz w:val="20"/>
        </w:rPr>
        <w:t>• Dashboard Visual Integrado:</w:t>
      </w:r>
      <w:r>
        <w:rPr>
          <w:rFonts w:ascii="Arial" w:hAnsi="Arial"/>
          <w:i w:val="0"/>
          <w:color w:val="2D3748"/>
          <w:sz w:val="20"/>
        </w:rPr>
        <w:t xml:space="preserve"> El script inyecta la tabla de resultados, los badges de certificación y el puntaje 100/100 directamente en la variable $GITHUB_STEP_SUMMARY. Esto genera un panel visual e interactivo visible directamente en la interfaz web de GitHub Actions para cualquier evaluador o miembro del equipo sin necesidad de ejecutar comandos locales ni consumir tokens de APIs externas.</w:t>
      </w:r>
    </w:p>
    <w:p>
      <w:pPr>
        <w:spacing w:after="120" w:line="276" w:lineRule="auto"/>
      </w:pPr>
      <w:r>
        <w:rPr>
          <w:rFonts w:ascii="Arial" w:hAnsi="Arial"/>
          <w:b/>
          <w:color w:val="2D3748"/>
          <w:sz w:val="20"/>
        </w:rPr>
        <w:t>• Exportación de Artefactos:</w:t>
      </w:r>
      <w:r>
        <w:rPr>
          <w:rFonts w:ascii="Arial" w:hAnsi="Arial"/>
          <w:i w:val="0"/>
          <w:color w:val="2D3748"/>
          <w:sz w:val="20"/>
        </w:rPr>
        <w:t xml:space="preserve"> El reporte formal de auditoría y certificación se almacena automáticamente como artefacto descargable del pipeline (actions/upload-artifact@v4) con 90 días de retención garantizada.</w:t>
      </w:r>
    </w:p>
    <w:p>
      <w:pPr>
        <w:spacing w:before="360" w:after="120"/>
        <w:pBdr>
          <w:bottom w:val="single" w:sz="6" w:space="2" w:color="2B6CB0"/>
        </w:pBdr>
      </w:pPr>
      <w:r>
        <w:rPr>
          <w:rFonts w:ascii="Arial" w:hAnsi="Arial"/>
          <w:b/>
          <w:color w:val="1A365D"/>
          <w:sz w:val="28"/>
        </w:rPr>
        <w:t>6. Inventario de Productos de Código para la Carpeta de Entregables</w:t>
      </w:r>
    </w:p>
    <w:p>
      <w:pPr>
        <w:spacing w:after="120" w:line="276" w:lineRule="auto"/>
      </w:pPr>
      <w:r>
        <w:rPr>
          <w:rFonts w:ascii="Arial" w:hAnsi="Arial"/>
          <w:i w:val="0"/>
          <w:color w:val="2D3748"/>
          <w:sz w:val="20"/>
        </w:rPr>
        <w:t>A continuación se lista la estructura de archivos que componen los productos entregados por DevSecOps para el Sprint 2:</w:t>
      </w:r>
    </w:p>
    <w:tbl>
      <w:tblPr>
        <w:tblW w:type="auto" w:w="0"/>
        <w:jc w:val="center"/>
        <w:tblLook w:firstColumn="1" w:firstRow="1" w:lastColumn="0" w:lastRow="0" w:noHBand="0" w:noVBand="1" w:val="04A0"/>
      </w:tblPr>
      <w:tblGrid>
        <w:gridCol w:w="3120"/>
        <w:gridCol w:w="3120"/>
        <w:gridCol w:w="3120"/>
      </w:tblGrid>
      <w:tr>
        <w:tc>
          <w:tcPr>
            <w:tcW w:type="dxa" w:w="2592"/>
            <w:shd w:fill="1A365D"/>
            <w:tcMar>
              <w:top w:w="100" w:type="dxa"/>
              <w:bottom w:w="100" w:type="dxa"/>
              <w:left w:w="100" w:type="dxa"/>
              <w:right w:w="100" w:type="dxa"/>
            </w:tcMar>
          </w:tcPr>
          <w:p>
            <w:pPr>
              <w:spacing w:after="0"/>
            </w:pPr>
            <w:r>
              <w:rPr>
                <w:rFonts w:ascii="Arial" w:hAnsi="Arial"/>
                <w:b/>
                <w:color w:val="FFFFFF"/>
                <w:sz w:val="17"/>
              </w:rPr>
              <w:t>Categoría</w:t>
            </w:r>
          </w:p>
        </w:tc>
        <w:tc>
          <w:tcPr>
            <w:tcW w:type="dxa" w:w="3168"/>
            <w:shd w:fill="1A365D"/>
            <w:tcMar>
              <w:top w:w="100" w:type="dxa"/>
              <w:bottom w:w="100" w:type="dxa"/>
              <w:left w:w="100" w:type="dxa"/>
              <w:right w:w="100" w:type="dxa"/>
            </w:tcMar>
          </w:tcPr>
          <w:p>
            <w:pPr>
              <w:spacing w:after="0"/>
            </w:pPr>
            <w:r>
              <w:rPr>
                <w:rFonts w:ascii="Arial" w:hAnsi="Arial"/>
                <w:b/>
                <w:color w:val="FFFFFF"/>
                <w:sz w:val="17"/>
              </w:rPr>
              <w:t>Archivo / Recurso</w:t>
            </w:r>
          </w:p>
        </w:tc>
        <w:tc>
          <w:tcPr>
            <w:tcW w:type="dxa" w:w="3600"/>
            <w:shd w:fill="1A365D"/>
            <w:tcMar>
              <w:top w:w="100" w:type="dxa"/>
              <w:bottom w:w="100" w:type="dxa"/>
              <w:left w:w="100" w:type="dxa"/>
              <w:right w:w="100" w:type="dxa"/>
            </w:tcMar>
          </w:tcPr>
          <w:p>
            <w:pPr>
              <w:spacing w:after="0"/>
            </w:pPr>
            <w:r>
              <w:rPr>
                <w:rFonts w:ascii="Arial" w:hAnsi="Arial"/>
                <w:b/>
                <w:color w:val="FFFFFF"/>
                <w:sz w:val="17"/>
              </w:rPr>
              <w:t>Descripción Técnica</w:t>
            </w:r>
          </w:p>
        </w:tc>
      </w:tr>
      <w:tr>
        <w:tc>
          <w:tcPr>
            <w:tcW w:type="dxa" w:w="2592"/>
            <w:shd w:fill="FFFFFF"/>
            <w:tcMar>
              <w:top w:w="80" w:type="dxa"/>
              <w:bottom w:w="80" w:type="dxa"/>
              <w:left w:w="100" w:type="dxa"/>
              <w:right w:w="100" w:type="dxa"/>
            </w:tcMar>
          </w:tcPr>
          <w:p>
            <w:pPr>
              <w:spacing w:after="0"/>
            </w:pPr>
            <w:r>
              <w:rPr>
                <w:rFonts w:ascii="Arial" w:hAnsi="Arial"/>
                <w:color w:val="2D3748"/>
                <w:sz w:val="16"/>
              </w:rPr>
              <w:t>Hardening Producción</w:t>
            </w:r>
          </w:p>
        </w:tc>
        <w:tc>
          <w:tcPr>
            <w:tcW w:type="dxa" w:w="3168"/>
            <w:shd w:fill="FFFFFF"/>
            <w:tcMar>
              <w:top w:w="80" w:type="dxa"/>
              <w:bottom w:w="80" w:type="dxa"/>
              <w:left w:w="100" w:type="dxa"/>
              <w:right w:w="100" w:type="dxa"/>
            </w:tcMar>
          </w:tcPr>
          <w:p>
            <w:pPr>
              <w:spacing w:after="0"/>
            </w:pPr>
            <w:r>
              <w:rPr>
                <w:rFonts w:ascii="Arial" w:hAnsi="Arial"/>
                <w:b/>
                <w:color w:val="2B6CB0"/>
                <w:sz w:val="16"/>
              </w:rPr>
              <w:t>src/frontend/vercel.json</w:t>
            </w:r>
          </w:p>
        </w:tc>
        <w:tc>
          <w:tcPr>
            <w:tcW w:type="dxa" w:w="3600"/>
            <w:shd w:fill="FFFFFF"/>
            <w:tcMar>
              <w:top w:w="80" w:type="dxa"/>
              <w:bottom w:w="80" w:type="dxa"/>
              <w:left w:w="100" w:type="dxa"/>
              <w:right w:w="100" w:type="dxa"/>
            </w:tcMar>
          </w:tcPr>
          <w:p>
            <w:pPr>
              <w:spacing w:after="0"/>
            </w:pPr>
            <w:r>
              <w:rPr>
                <w:rFonts w:ascii="Arial" w:hAnsi="Arial"/>
                <w:color w:val="2D3748"/>
                <w:sz w:val="16"/>
              </w:rPr>
              <w:t>Cabeceras HTTP seguras, HSTS, XFO, CSP v3 y CORS</w:t>
            </w:r>
          </w:p>
        </w:tc>
      </w:tr>
      <w:tr>
        <w:tc>
          <w:tcPr>
            <w:tcW w:type="dxa" w:w="2592"/>
            <w:shd w:fill="F7FAFC"/>
            <w:tcMar>
              <w:top w:w="80" w:type="dxa"/>
              <w:bottom w:w="80" w:type="dxa"/>
              <w:left w:w="100" w:type="dxa"/>
              <w:right w:w="100" w:type="dxa"/>
            </w:tcMar>
          </w:tcPr>
          <w:p>
            <w:pPr>
              <w:spacing w:after="0"/>
            </w:pPr>
            <w:r>
              <w:rPr>
                <w:rFonts w:ascii="Arial" w:hAnsi="Arial"/>
                <w:color w:val="2D3748"/>
                <w:sz w:val="16"/>
              </w:rPr>
              <w:t>Hardening Producción</w:t>
            </w:r>
          </w:p>
        </w:tc>
        <w:tc>
          <w:tcPr>
            <w:tcW w:type="dxa" w:w="3168"/>
            <w:shd w:fill="F7FAFC"/>
            <w:tcMar>
              <w:top w:w="80" w:type="dxa"/>
              <w:bottom w:w="80" w:type="dxa"/>
              <w:left w:w="100" w:type="dxa"/>
              <w:right w:w="100" w:type="dxa"/>
            </w:tcMar>
          </w:tcPr>
          <w:p>
            <w:pPr>
              <w:spacing w:after="0"/>
            </w:pPr>
            <w:r>
              <w:rPr>
                <w:rFonts w:ascii="Arial" w:hAnsi="Arial"/>
                <w:b/>
                <w:color w:val="2B6CB0"/>
                <w:sz w:val="16"/>
              </w:rPr>
              <w:t>src/frontend/.env.example</w:t>
            </w:r>
          </w:p>
        </w:tc>
        <w:tc>
          <w:tcPr>
            <w:tcW w:type="dxa" w:w="3600"/>
            <w:shd w:fill="F7FAFC"/>
            <w:tcMar>
              <w:top w:w="80" w:type="dxa"/>
              <w:bottom w:w="80" w:type="dxa"/>
              <w:left w:w="100" w:type="dxa"/>
              <w:right w:w="100" w:type="dxa"/>
            </w:tcMar>
          </w:tcPr>
          <w:p>
            <w:pPr>
              <w:spacing w:after="0"/>
            </w:pPr>
            <w:r>
              <w:rPr>
                <w:rFonts w:ascii="Arial" w:hAnsi="Arial"/>
                <w:color w:val="2D3748"/>
                <w:sz w:val="16"/>
              </w:rPr>
              <w:t>Plantilla de variables de entorno públicas sanitizadas</w:t>
            </w:r>
          </w:p>
        </w:tc>
      </w:tr>
      <w:tr>
        <w:tc>
          <w:tcPr>
            <w:tcW w:type="dxa" w:w="2592"/>
            <w:shd w:fill="FFFFFF"/>
            <w:tcMar>
              <w:top w:w="80" w:type="dxa"/>
              <w:bottom w:w="80" w:type="dxa"/>
              <w:left w:w="100" w:type="dxa"/>
              <w:right w:w="100" w:type="dxa"/>
            </w:tcMar>
          </w:tcPr>
          <w:p>
            <w:pPr>
              <w:spacing w:after="0"/>
            </w:pPr>
            <w:r>
              <w:rPr>
                <w:rFonts w:ascii="Arial" w:hAnsi="Arial"/>
                <w:color w:val="2D3748"/>
                <w:sz w:val="16"/>
              </w:rPr>
              <w:t>Hardening Producción</w:t>
            </w:r>
          </w:p>
        </w:tc>
        <w:tc>
          <w:tcPr>
            <w:tcW w:type="dxa" w:w="3168"/>
            <w:shd w:fill="FFFFFF"/>
            <w:tcMar>
              <w:top w:w="80" w:type="dxa"/>
              <w:bottom w:w="80" w:type="dxa"/>
              <w:left w:w="100" w:type="dxa"/>
              <w:right w:w="100" w:type="dxa"/>
            </w:tcMar>
          </w:tcPr>
          <w:p>
            <w:pPr>
              <w:spacing w:after="0"/>
            </w:pPr>
            <w:r>
              <w:rPr>
                <w:rFonts w:ascii="Arial" w:hAnsi="Arial"/>
                <w:b/>
                <w:color w:val="2B6CB0"/>
                <w:sz w:val="16"/>
              </w:rPr>
              <w:t>src/frontend/.env.production.example</w:t>
            </w:r>
          </w:p>
        </w:tc>
        <w:tc>
          <w:tcPr>
            <w:tcW w:type="dxa" w:w="3600"/>
            <w:shd w:fill="FFFFFF"/>
            <w:tcMar>
              <w:top w:w="80" w:type="dxa"/>
              <w:bottom w:w="80" w:type="dxa"/>
              <w:left w:w="100" w:type="dxa"/>
              <w:right w:w="100" w:type="dxa"/>
            </w:tcMar>
          </w:tcPr>
          <w:p>
            <w:pPr>
              <w:spacing w:after="0"/>
            </w:pPr>
            <w:r>
              <w:rPr>
                <w:rFonts w:ascii="Arial" w:hAnsi="Arial"/>
                <w:color w:val="2D3748"/>
                <w:sz w:val="16"/>
              </w:rPr>
              <w:t>Especificación de llaves para el gestor Vercel Secrets</w:t>
            </w:r>
          </w:p>
        </w:tc>
      </w:tr>
      <w:tr>
        <w:tc>
          <w:tcPr>
            <w:tcW w:type="dxa" w:w="2592"/>
            <w:shd w:fill="F7FAFC"/>
            <w:tcMar>
              <w:top w:w="80" w:type="dxa"/>
              <w:bottom w:w="80" w:type="dxa"/>
              <w:left w:w="100" w:type="dxa"/>
              <w:right w:w="100" w:type="dxa"/>
            </w:tcMar>
          </w:tcPr>
          <w:p>
            <w:pPr>
              <w:spacing w:after="0"/>
            </w:pPr>
            <w:r>
              <w:rPr>
                <w:rFonts w:ascii="Arial" w:hAnsi="Arial"/>
                <w:color w:val="2D3748"/>
                <w:sz w:val="16"/>
              </w:rPr>
              <w:t>Herramientas DevSecOps</w:t>
            </w:r>
          </w:p>
        </w:tc>
        <w:tc>
          <w:tcPr>
            <w:tcW w:type="dxa" w:w="3168"/>
            <w:shd w:fill="F7FAFC"/>
            <w:tcMar>
              <w:top w:w="80" w:type="dxa"/>
              <w:bottom w:w="80" w:type="dxa"/>
              <w:left w:w="100" w:type="dxa"/>
              <w:right w:w="100" w:type="dxa"/>
            </w:tcMar>
          </w:tcPr>
          <w:p>
            <w:pPr>
              <w:spacing w:after="0"/>
            </w:pPr>
            <w:r>
              <w:rPr>
                <w:rFonts w:ascii="Arial" w:hAnsi="Arial"/>
                <w:b/>
                <w:color w:val="2B6CB0"/>
                <w:sz w:val="16"/>
              </w:rPr>
              <w:t>scripts/devsecops-live-audit.js</w:t>
            </w:r>
          </w:p>
        </w:tc>
        <w:tc>
          <w:tcPr>
            <w:tcW w:type="dxa" w:w="3600"/>
            <w:shd w:fill="F7FAFC"/>
            <w:tcMar>
              <w:top w:w="80" w:type="dxa"/>
              <w:bottom w:w="80" w:type="dxa"/>
              <w:left w:w="100" w:type="dxa"/>
              <w:right w:w="100" w:type="dxa"/>
            </w:tcMar>
          </w:tcPr>
          <w:p>
            <w:pPr>
              <w:spacing w:after="0"/>
            </w:pPr>
            <w:r>
              <w:rPr>
                <w:rFonts w:ascii="Arial" w:hAnsi="Arial"/>
                <w:color w:val="2D3748"/>
                <w:sz w:val="16"/>
              </w:rPr>
              <w:t>CLI de auditoría dinámica en vivo y generación de reportes</w:t>
            </w:r>
          </w:p>
        </w:tc>
      </w:tr>
      <w:tr>
        <w:tc>
          <w:tcPr>
            <w:tcW w:type="dxa" w:w="2592"/>
            <w:shd w:fill="FFFFFF"/>
            <w:tcMar>
              <w:top w:w="80" w:type="dxa"/>
              <w:bottom w:w="80" w:type="dxa"/>
              <w:left w:w="100" w:type="dxa"/>
              <w:right w:w="100" w:type="dxa"/>
            </w:tcMar>
          </w:tcPr>
          <w:p>
            <w:pPr>
              <w:spacing w:after="0"/>
            </w:pPr>
            <w:r>
              <w:rPr>
                <w:rFonts w:ascii="Arial" w:hAnsi="Arial"/>
                <w:color w:val="2D3748"/>
                <w:sz w:val="16"/>
              </w:rPr>
              <w:t>Herramientas DevSecOps</w:t>
            </w:r>
          </w:p>
        </w:tc>
        <w:tc>
          <w:tcPr>
            <w:tcW w:type="dxa" w:w="3168"/>
            <w:shd w:fill="FFFFFF"/>
            <w:tcMar>
              <w:top w:w="80" w:type="dxa"/>
              <w:bottom w:w="80" w:type="dxa"/>
              <w:left w:w="100" w:type="dxa"/>
              <w:right w:w="100" w:type="dxa"/>
            </w:tcMar>
          </w:tcPr>
          <w:p>
            <w:pPr>
              <w:spacing w:after="0"/>
            </w:pPr>
            <w:r>
              <w:rPr>
                <w:rFonts w:ascii="Arial" w:hAnsi="Arial"/>
                <w:b/>
                <w:color w:val="2B6CB0"/>
                <w:sz w:val="16"/>
              </w:rPr>
              <w:t>scripts/sast-frontend-scanner.js</w:t>
            </w:r>
          </w:p>
        </w:tc>
        <w:tc>
          <w:tcPr>
            <w:tcW w:type="dxa" w:w="3600"/>
            <w:shd w:fill="FFFFFF"/>
            <w:tcMar>
              <w:top w:w="80" w:type="dxa"/>
              <w:bottom w:w="80" w:type="dxa"/>
              <w:left w:w="100" w:type="dxa"/>
              <w:right w:w="100" w:type="dxa"/>
            </w:tcMar>
          </w:tcPr>
          <w:p>
            <w:pPr>
              <w:spacing w:after="0"/>
            </w:pPr>
            <w:r>
              <w:rPr>
                <w:rFonts w:ascii="Arial" w:hAnsi="Arial"/>
                <w:color w:val="2D3748"/>
                <w:sz w:val="16"/>
              </w:rPr>
              <w:t>Motor SAST estático para escaneo de 4 microfrontends</w:t>
            </w:r>
          </w:p>
        </w:tc>
      </w:tr>
      <w:tr>
        <w:tc>
          <w:tcPr>
            <w:tcW w:type="dxa" w:w="2592"/>
            <w:shd w:fill="F7FAFC"/>
            <w:tcMar>
              <w:top w:w="80" w:type="dxa"/>
              <w:bottom w:w="80" w:type="dxa"/>
              <w:left w:w="100" w:type="dxa"/>
              <w:right w:w="100" w:type="dxa"/>
            </w:tcMar>
          </w:tcPr>
          <w:p>
            <w:pPr>
              <w:spacing w:after="0"/>
            </w:pPr>
            <w:r>
              <w:rPr>
                <w:rFonts w:ascii="Arial" w:hAnsi="Arial"/>
                <w:color w:val="2D3748"/>
                <w:sz w:val="16"/>
              </w:rPr>
              <w:t>Pipelines CI/CD</w:t>
            </w:r>
          </w:p>
        </w:tc>
        <w:tc>
          <w:tcPr>
            <w:tcW w:type="dxa" w:w="3168"/>
            <w:shd w:fill="F7FAFC"/>
            <w:tcMar>
              <w:top w:w="80" w:type="dxa"/>
              <w:bottom w:w="80" w:type="dxa"/>
              <w:left w:w="100" w:type="dxa"/>
              <w:right w:w="100" w:type="dxa"/>
            </w:tcMar>
          </w:tcPr>
          <w:p>
            <w:pPr>
              <w:spacing w:after="0"/>
            </w:pPr>
            <w:r>
              <w:rPr>
                <w:rFonts w:ascii="Arial" w:hAnsi="Arial"/>
                <w:b/>
                <w:color w:val="2B6CB0"/>
                <w:sz w:val="16"/>
              </w:rPr>
              <w:t>.github/workflows/devsecops-audit.yml</w:t>
            </w:r>
          </w:p>
        </w:tc>
        <w:tc>
          <w:tcPr>
            <w:tcW w:type="dxa" w:w="3600"/>
            <w:shd w:fill="F7FAFC"/>
            <w:tcMar>
              <w:top w:w="80" w:type="dxa"/>
              <w:bottom w:w="80" w:type="dxa"/>
              <w:left w:w="100" w:type="dxa"/>
              <w:right w:w="100" w:type="dxa"/>
            </w:tcMar>
          </w:tcPr>
          <w:p>
            <w:pPr>
              <w:spacing w:after="0"/>
            </w:pPr>
            <w:r>
              <w:rPr>
                <w:rFonts w:ascii="Arial" w:hAnsi="Arial"/>
                <w:color w:val="2D3748"/>
                <w:sz w:val="16"/>
              </w:rPr>
              <w:t>Flujo cloud de auditoría con Dashboard en Step Summary</w:t>
            </w:r>
          </w:p>
        </w:tc>
      </w:tr>
      <w:tr>
        <w:tc>
          <w:tcPr>
            <w:tcW w:type="dxa" w:w="2592"/>
            <w:shd w:fill="FFFFFF"/>
            <w:tcMar>
              <w:top w:w="80" w:type="dxa"/>
              <w:bottom w:w="80" w:type="dxa"/>
              <w:left w:w="100" w:type="dxa"/>
              <w:right w:w="100" w:type="dxa"/>
            </w:tcMar>
          </w:tcPr>
          <w:p>
            <w:pPr>
              <w:spacing w:after="0"/>
            </w:pPr>
            <w:r>
              <w:rPr>
                <w:rFonts w:ascii="Arial" w:hAnsi="Arial"/>
                <w:color w:val="2D3748"/>
                <w:sz w:val="16"/>
              </w:rPr>
              <w:t>Pipelines CI/CD</w:t>
            </w:r>
          </w:p>
        </w:tc>
        <w:tc>
          <w:tcPr>
            <w:tcW w:type="dxa" w:w="3168"/>
            <w:shd w:fill="FFFFFF"/>
            <w:tcMar>
              <w:top w:w="80" w:type="dxa"/>
              <w:bottom w:w="80" w:type="dxa"/>
              <w:left w:w="100" w:type="dxa"/>
              <w:right w:w="100" w:type="dxa"/>
            </w:tcMar>
          </w:tcPr>
          <w:p>
            <w:pPr>
              <w:spacing w:after="0"/>
            </w:pPr>
            <w:r>
              <w:rPr>
                <w:rFonts w:ascii="Arial" w:hAnsi="Arial"/>
                <w:b/>
                <w:color w:val="2B6CB0"/>
                <w:sz w:val="16"/>
              </w:rPr>
              <w:t>.github/workflows/deploy.yml</w:t>
            </w:r>
          </w:p>
        </w:tc>
        <w:tc>
          <w:tcPr>
            <w:tcW w:type="dxa" w:w="3600"/>
            <w:shd w:fill="FFFFFF"/>
            <w:tcMar>
              <w:top w:w="80" w:type="dxa"/>
              <w:bottom w:w="80" w:type="dxa"/>
              <w:left w:w="100" w:type="dxa"/>
              <w:right w:w="100" w:type="dxa"/>
            </w:tcMar>
          </w:tcPr>
          <w:p>
            <w:pPr>
              <w:spacing w:after="0"/>
            </w:pPr>
            <w:r>
              <w:rPr>
                <w:rFonts w:ascii="Arial" w:hAnsi="Arial"/>
                <w:color w:val="2D3748"/>
                <w:sz w:val="16"/>
              </w:rPr>
              <w:t>Compuerta de seguridad SAST obligatoria previa a Vercel</w:t>
            </w:r>
          </w:p>
        </w:tc>
      </w:tr>
      <w:tr>
        <w:tc>
          <w:tcPr>
            <w:tcW w:type="dxa" w:w="2592"/>
            <w:shd w:fill="F7FAFC"/>
            <w:tcMar>
              <w:top w:w="80" w:type="dxa"/>
              <w:bottom w:w="80" w:type="dxa"/>
              <w:left w:w="100" w:type="dxa"/>
              <w:right w:w="100" w:type="dxa"/>
            </w:tcMar>
          </w:tcPr>
          <w:p>
            <w:pPr>
              <w:spacing w:after="0"/>
            </w:pPr>
            <w:r>
              <w:rPr>
                <w:rFonts w:ascii="Arial" w:hAnsi="Arial"/>
                <w:color w:val="2D3748"/>
                <w:sz w:val="16"/>
              </w:rPr>
              <w:t>Pipelines CI/CD</w:t>
            </w:r>
          </w:p>
        </w:tc>
        <w:tc>
          <w:tcPr>
            <w:tcW w:type="dxa" w:w="3168"/>
            <w:shd w:fill="F7FAFC"/>
            <w:tcMar>
              <w:top w:w="80" w:type="dxa"/>
              <w:bottom w:w="80" w:type="dxa"/>
              <w:left w:w="100" w:type="dxa"/>
              <w:right w:w="100" w:type="dxa"/>
            </w:tcMar>
          </w:tcPr>
          <w:p>
            <w:pPr>
              <w:spacing w:after="0"/>
            </w:pPr>
            <w:r>
              <w:rPr>
                <w:rFonts w:ascii="Arial" w:hAnsi="Arial"/>
                <w:b/>
                <w:color w:val="2B6CB0"/>
                <w:sz w:val="16"/>
              </w:rPr>
              <w:t>.github/workflows/backend-ci.yml</w:t>
            </w:r>
          </w:p>
        </w:tc>
        <w:tc>
          <w:tcPr>
            <w:tcW w:type="dxa" w:w="3600"/>
            <w:shd w:fill="F7FAFC"/>
            <w:tcMar>
              <w:top w:w="80" w:type="dxa"/>
              <w:bottom w:w="80" w:type="dxa"/>
              <w:left w:w="100" w:type="dxa"/>
              <w:right w:w="100" w:type="dxa"/>
            </w:tcMar>
          </w:tcPr>
          <w:p>
            <w:pPr>
              <w:spacing w:after="0"/>
            </w:pPr>
            <w:r>
              <w:rPr>
                <w:rFonts w:ascii="Arial" w:hAnsi="Arial"/>
                <w:color w:val="2D3748"/>
                <w:sz w:val="16"/>
              </w:rPr>
              <w:t>Resiliencia y tolerancia a fallos en pruebas de integración</w:t>
            </w:r>
          </w:p>
        </w:tc>
      </w:tr>
      <w:tr>
        <w:tc>
          <w:tcPr>
            <w:tcW w:type="dxa" w:w="2592"/>
            <w:shd w:fill="FFFFFF"/>
            <w:tcMar>
              <w:top w:w="80" w:type="dxa"/>
              <w:bottom w:w="80" w:type="dxa"/>
              <w:left w:w="100" w:type="dxa"/>
              <w:right w:w="100" w:type="dxa"/>
            </w:tcMar>
          </w:tcPr>
          <w:p>
            <w:pPr>
              <w:spacing w:after="0"/>
            </w:pPr>
            <w:r>
              <w:rPr>
                <w:rFonts w:ascii="Arial" w:hAnsi="Arial"/>
                <w:color w:val="2D3748"/>
                <w:sz w:val="16"/>
              </w:rPr>
              <w:t>Gobernanza</w:t>
            </w:r>
          </w:p>
        </w:tc>
        <w:tc>
          <w:tcPr>
            <w:tcW w:type="dxa" w:w="3168"/>
            <w:shd w:fill="FFFFFF"/>
            <w:tcMar>
              <w:top w:w="80" w:type="dxa"/>
              <w:bottom w:w="80" w:type="dxa"/>
              <w:left w:w="100" w:type="dxa"/>
              <w:right w:w="100" w:type="dxa"/>
            </w:tcMar>
          </w:tcPr>
          <w:p>
            <w:pPr>
              <w:spacing w:after="0"/>
            </w:pPr>
            <w:r>
              <w:rPr>
                <w:rFonts w:ascii="Arial" w:hAnsi="Arial"/>
                <w:b/>
                <w:color w:val="2B6CB0"/>
                <w:sz w:val="16"/>
              </w:rPr>
              <w:t>.github/CODEOWNERS</w:t>
            </w:r>
          </w:p>
        </w:tc>
        <w:tc>
          <w:tcPr>
            <w:tcW w:type="dxa" w:w="3600"/>
            <w:shd w:fill="FFFFFF"/>
            <w:tcMar>
              <w:top w:w="80" w:type="dxa"/>
              <w:bottom w:w="80" w:type="dxa"/>
              <w:left w:w="100" w:type="dxa"/>
              <w:right w:w="100" w:type="dxa"/>
            </w:tcMar>
          </w:tcPr>
          <w:p>
            <w:pPr>
              <w:spacing w:after="0"/>
            </w:pPr>
            <w:r>
              <w:rPr>
                <w:rFonts w:ascii="Arial" w:hAnsi="Arial"/>
                <w:color w:val="2D3748"/>
                <w:sz w:val="16"/>
              </w:rPr>
              <w:t>Matriz de co-propiedad y revisión de PRs para Álvaro Tipian</w:t>
            </w:r>
          </w:p>
        </w:tc>
      </w:tr>
      <w:tr>
        <w:tc>
          <w:tcPr>
            <w:tcW w:type="dxa" w:w="2592"/>
            <w:shd w:fill="F7FAFC"/>
            <w:tcMar>
              <w:top w:w="80" w:type="dxa"/>
              <w:bottom w:w="80" w:type="dxa"/>
              <w:left w:w="100" w:type="dxa"/>
              <w:right w:w="100" w:type="dxa"/>
            </w:tcMar>
          </w:tcPr>
          <w:p>
            <w:pPr>
              <w:spacing w:after="0"/>
            </w:pPr>
            <w:r>
              <w:rPr>
                <w:rFonts w:ascii="Arial" w:hAnsi="Arial"/>
                <w:color w:val="2D3748"/>
                <w:sz w:val="16"/>
              </w:rPr>
              <w:t>Gobernanza</w:t>
            </w:r>
          </w:p>
        </w:tc>
        <w:tc>
          <w:tcPr>
            <w:tcW w:type="dxa" w:w="3168"/>
            <w:shd w:fill="F7FAFC"/>
            <w:tcMar>
              <w:top w:w="80" w:type="dxa"/>
              <w:bottom w:w="80" w:type="dxa"/>
              <w:left w:w="100" w:type="dxa"/>
              <w:right w:w="100" w:type="dxa"/>
            </w:tcMar>
          </w:tcPr>
          <w:p>
            <w:pPr>
              <w:spacing w:after="0"/>
            </w:pPr>
            <w:r>
              <w:rPr>
                <w:rFonts w:ascii="Arial" w:hAnsi="Arial"/>
                <w:b/>
                <w:color w:val="2B6CB0"/>
                <w:sz w:val="16"/>
              </w:rPr>
              <w:t>.github/SECURITY.md</w:t>
            </w:r>
          </w:p>
        </w:tc>
        <w:tc>
          <w:tcPr>
            <w:tcW w:type="dxa" w:w="3600"/>
            <w:shd w:fill="F7FAFC"/>
            <w:tcMar>
              <w:top w:w="80" w:type="dxa"/>
              <w:bottom w:w="80" w:type="dxa"/>
              <w:left w:w="100" w:type="dxa"/>
              <w:right w:w="100" w:type="dxa"/>
            </w:tcMar>
          </w:tcPr>
          <w:p>
            <w:pPr>
              <w:spacing w:after="0"/>
            </w:pPr>
            <w:r>
              <w:rPr>
                <w:rFonts w:ascii="Arial" w:hAnsi="Arial"/>
                <w:color w:val="2D3748"/>
                <w:sz w:val="16"/>
              </w:rPr>
              <w:t>Política de divulgación responsable de vulnerabilidades</w:t>
            </w:r>
          </w:p>
        </w:tc>
      </w:tr>
      <w:tr>
        <w:tc>
          <w:tcPr>
            <w:tcW w:type="dxa" w:w="2592"/>
            <w:shd w:fill="FFFFFF"/>
            <w:tcMar>
              <w:top w:w="80" w:type="dxa"/>
              <w:bottom w:w="80" w:type="dxa"/>
              <w:left w:w="100" w:type="dxa"/>
              <w:right w:w="100" w:type="dxa"/>
            </w:tcMar>
          </w:tcPr>
          <w:p>
            <w:pPr>
              <w:spacing w:after="0"/>
            </w:pPr>
            <w:r>
              <w:rPr>
                <w:rFonts w:ascii="Arial" w:hAnsi="Arial"/>
                <w:color w:val="2D3748"/>
                <w:sz w:val="16"/>
              </w:rPr>
              <w:t>Reportes Oficiales</w:t>
            </w:r>
          </w:p>
        </w:tc>
        <w:tc>
          <w:tcPr>
            <w:tcW w:type="dxa" w:w="3168"/>
            <w:shd w:fill="FFFFFF"/>
            <w:tcMar>
              <w:top w:w="80" w:type="dxa"/>
              <w:bottom w:w="80" w:type="dxa"/>
              <w:left w:w="100" w:type="dxa"/>
              <w:right w:w="100" w:type="dxa"/>
            </w:tcMar>
          </w:tcPr>
          <w:p>
            <w:pPr>
              <w:spacing w:after="0"/>
            </w:pPr>
            <w:r>
              <w:rPr>
                <w:rFonts w:ascii="Arial" w:hAnsi="Arial"/>
                <w:b/>
                <w:color w:val="2B6CB0"/>
                <w:sz w:val="16"/>
              </w:rPr>
              <w:t>docs/INFORME_TECNICO_DEVSECOPS_HT30_AUDITORIA_CONTINUA.docx</w:t>
            </w:r>
          </w:p>
        </w:tc>
        <w:tc>
          <w:tcPr>
            <w:tcW w:type="dxa" w:w="3600"/>
            <w:shd w:fill="FFFFFF"/>
            <w:tcMar>
              <w:top w:w="80" w:type="dxa"/>
              <w:bottom w:w="80" w:type="dxa"/>
              <w:left w:w="100" w:type="dxa"/>
              <w:right w:w="100" w:type="dxa"/>
            </w:tcMar>
          </w:tcPr>
          <w:p>
            <w:pPr>
              <w:spacing w:after="0"/>
            </w:pPr>
            <w:r>
              <w:rPr>
                <w:rFonts w:ascii="Arial" w:hAnsi="Arial"/>
                <w:color w:val="2D3748"/>
                <w:sz w:val="16"/>
              </w:rPr>
              <w:t>Este informe técnico oficial en formato Word editable</w:t>
            </w:r>
          </w:p>
        </w:tc>
      </w:tr>
    </w:tbl>
    <w:p>
      <w:pPr>
        <w:spacing w:after="280"/>
      </w:pPr>
    </w:p>
    <w:p>
      <w:pPr>
        <w:spacing w:before="320"/>
        <w:jc w:val="right"/>
      </w:pPr>
      <w:r>
        <w:rPr>
          <w:rFonts w:ascii="Arial" w:hAnsi="Arial"/>
          <w:i/>
          <w:color w:val="718096"/>
          <w:sz w:val="19"/>
        </w:rPr>
        <w:t>Álvaro Tipian</w:t>
        <w:br/>
        <w:t>Ingeniero DevSecOps — UrbanPulse Team</w:t>
        <w:br/>
        <w:t>Certificación de Cumplimiento Sprint 2 (HT-30)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