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rFonts w:ascii="Arial" w:cs="Arial" w:eastAsia="Arial" w:hAnsi="Arial"/>
          <w:color w:val="1f4e79"/>
        </w:rPr>
      </w:pPr>
      <w:r w:rsidDel="00000000" w:rsidR="00000000" w:rsidRPr="00000000">
        <w:rPr>
          <w:rFonts w:ascii="Arial" w:cs="Arial" w:eastAsia="Arial" w:hAnsi="Arial"/>
          <w:color w:val="1f4e79"/>
          <w:rtl w:val="0"/>
        </w:rPr>
        <w:t xml:space="preserve">Guía Técnica y Despliegue: Flujos de Extracción Documental (SMV y BVL con AI Builder)</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rPr>
      </w:pPr>
      <w:r w:rsidDel="00000000" w:rsidR="00000000" w:rsidRPr="00000000">
        <w:rPr>
          <w:rFonts w:ascii="Arial" w:cs="Arial" w:eastAsia="Arial" w:hAnsi="Arial"/>
          <w:rtl w:val="0"/>
        </w:rPr>
        <w:t xml:space="preserve">Este documento detalla la arquitectura, la lógica de procesamiento y los pasos de configuración para los flujos de automatización que analizan los documentos de la SMV y la BVL. A diferencia de los flujos transaccionales tradicionales, estos pipelines emplean Inteligencia Artificial Generativa (AI Builder y Custom Prompts) para leer documentos financieros no estructurados y estructurar los datos extraídos en una matriz de Excel.</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1f4e79"/>
        </w:rPr>
      </w:pPr>
      <w:r w:rsidDel="00000000" w:rsidR="00000000" w:rsidRPr="00000000">
        <w:rPr>
          <w:rFonts w:ascii="Arial" w:cs="Arial" w:eastAsia="Arial" w:hAnsi="Arial"/>
          <w:color w:val="1f4e79"/>
          <w:rtl w:val="0"/>
        </w:rPr>
        <w:t xml:space="preserve">1. Arquitectura Lógica y Objetivo del Flujo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rPr>
      </w:pPr>
      <w:r w:rsidDel="00000000" w:rsidR="00000000" w:rsidRPr="00000000">
        <w:rPr>
          <w:rFonts w:ascii="Arial" w:cs="Arial" w:eastAsia="Arial" w:hAnsi="Arial"/>
          <w:rtl w:val="0"/>
        </w:rPr>
        <w:t xml:space="preserve">Ambos flujos (BVL y SMV) tienen el mismo objetivo: recorrer una lista de empresas en Excel, buscar sus Memorias Anuales o Reportes de Sostenibilidad descargados previamente (mediante los scripts de Python), pasarlos por un motor de OCR y extraer indicadores clave usando IA. El flujo se desencadena de manera manual (</w:t>
      </w:r>
      <w:r w:rsidDel="00000000" w:rsidR="00000000" w:rsidRPr="00000000">
        <w:rPr>
          <w:rFonts w:ascii="Arial" w:cs="Arial" w:eastAsia="Arial" w:hAnsi="Arial"/>
          <w:i w:val="1"/>
          <w:iCs w:val="1"/>
          <w:rtl w:val="0"/>
        </w:rPr>
        <w:t xml:space="preserve">Trigger Manual</w:t>
      </w:r>
      <w:r w:rsidDel="00000000" w:rsidR="00000000" w:rsidRPr="00000000">
        <w:rPr>
          <w:rFonts w:ascii="Arial" w:cs="Arial" w:eastAsia="Arial" w:hAnsi="Arial"/>
          <w:rtl w:val="0"/>
        </w:rPr>
        <w:t xml:space="preserve">) y opera sobre una tabla específica en Excel Online (ej. bvl_emisores.xlsx).</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1f4e79"/>
        </w:rPr>
      </w:pPr>
      <w:r w:rsidDel="00000000" w:rsidR="00000000" w:rsidRPr="00000000">
        <w:rPr>
          <w:rFonts w:ascii="Arial" w:cs="Arial" w:eastAsia="Arial" w:hAnsi="Arial"/>
          <w:color w:val="1f4e79"/>
          <w:rtl w:val="0"/>
        </w:rPr>
        <w:t xml:space="preserve">2. Variables de Control y Estado</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Al iniciar, el flujo inicializa un conjunto de variables de control vitales para el manejo de excepciones y la recopilación de los datos extraídos: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line="300" w:lineRule="auto"/>
        <w:ind w:left="600" w:hanging="360"/>
      </w:pPr>
      <w:r w:rsidDel="00000000" w:rsidR="00000000" w:rsidRPr="00000000">
        <w:rPr>
          <w:rFonts w:ascii="Arial" w:cs="Arial" w:eastAsia="Arial" w:hAnsi="Arial"/>
          <w:b w:val="1"/>
          <w:bCs w:val="1"/>
          <w:rtl w:val="0"/>
        </w:rPr>
        <w:t xml:space="preserve">varFallidos (Array):</w:t>
      </w:r>
      <w:r w:rsidDel="00000000" w:rsidR="00000000" w:rsidRPr="00000000">
        <w:rPr>
          <w:rFonts w:ascii="Arial" w:cs="Arial" w:eastAsia="Arial" w:hAnsi="Arial"/>
          <w:rtl w:val="0"/>
        </w:rPr>
        <w:t xml:space="preserve"> Lista donde se guardarán los nombres (Razón Social) de las empresas que generen errores en la lectura o descarga del PDF.</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pPr>
      <w:r w:rsidDel="00000000" w:rsidR="00000000" w:rsidRPr="00000000">
        <w:rPr>
          <w:rFonts w:ascii="Arial" w:cs="Arial" w:eastAsia="Arial" w:hAnsi="Arial"/>
          <w:b w:val="1"/>
          <w:bCs w:val="1"/>
          <w:rtl w:val="0"/>
        </w:rPr>
        <w:t xml:space="preserve">varProcesed (Integer):</w:t>
      </w:r>
      <w:r w:rsidDel="00000000" w:rsidR="00000000" w:rsidRPr="00000000">
        <w:rPr>
          <w:rFonts w:ascii="Arial" w:cs="Arial" w:eastAsia="Arial" w:hAnsi="Arial"/>
          <w:rtl w:val="0"/>
        </w:rPr>
        <w:t xml:space="preserve"> Un contador que va sumando (1 en 1) cada empresa procesada con éxito.</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120" w:before="0" w:beforeAutospacing="0" w:line="300" w:lineRule="auto"/>
        <w:ind w:left="600" w:hanging="360"/>
      </w:pPr>
      <w:r w:rsidDel="00000000" w:rsidR="00000000" w:rsidRPr="00000000">
        <w:rPr>
          <w:rFonts w:ascii="Arial" w:cs="Arial" w:eastAsia="Arial" w:hAnsi="Arial"/>
          <w:b w:val="1"/>
          <w:bCs w:val="1"/>
          <w:rtl w:val="0"/>
        </w:rPr>
        <w:t xml:space="preserve">Variables de Extracción:</w:t>
      </w:r>
      <w:r w:rsidDel="00000000" w:rsidR="00000000" w:rsidRPr="00000000">
        <w:rPr>
          <w:rFonts w:ascii="Arial" w:cs="Arial" w:eastAsia="Arial" w:hAnsi="Arial"/>
          <w:rtl w:val="0"/>
        </w:rPr>
        <w:t xml:space="preserve"> Se inicializan las variables varCurrentAuditor, varCurrentFee, varCurrentTemas, varCurrentSostenibilidad y varCurrentEstructura. Por defecto, todas empiezan con el valor "NO_IDENTIFICADO".</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rPr>
          <w:rFonts w:ascii="Arial" w:cs="Arial" w:eastAsia="Arial" w:hAnsi="Arial"/>
          <w:color w:val="1f4e79"/>
        </w:rPr>
      </w:pPr>
      <w:r w:rsidDel="00000000" w:rsidR="00000000" w:rsidRPr="00000000">
        <w:rPr>
          <w:rFonts w:ascii="Arial" w:cs="Arial" w:eastAsia="Arial" w:hAnsi="Arial"/>
          <w:color w:val="1f4e79"/>
          <w:rtl w:val="0"/>
        </w:rPr>
        <w:t xml:space="preserve">3. Pipeline de Procesamiento (Paso a Paso)</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0" w:afterAutospacing="0" w:line="300" w:lineRule="auto"/>
        <w:ind w:left="600" w:hanging="360"/>
      </w:pPr>
      <w:r w:rsidDel="00000000" w:rsidR="00000000" w:rsidRPr="00000000">
        <w:rPr>
          <w:rFonts w:ascii="Arial" w:cs="Arial" w:eastAsia="Arial" w:hAnsi="Arial"/>
          <w:b w:val="1"/>
          <w:bCs w:val="1"/>
          <w:rtl w:val="0"/>
        </w:rPr>
        <w:t xml:space="preserve">Lectura y Filtrado Inteligente:</w:t>
      </w:r>
      <w:r w:rsidDel="00000000" w:rsidR="00000000" w:rsidRPr="00000000">
        <w:rPr>
          <w:rFonts w:ascii="Arial" w:cs="Arial" w:eastAsia="Arial" w:hAnsi="Arial"/>
          <w:rtl w:val="0"/>
        </w:rPr>
        <w:t xml:space="preserve"> El sistema lee la tabla maestra en Excel y aplica un filtro inicial: solo procesa las filas que tengan el Estado = 'OK' y donde la columna Auditor esté vacía o nula. Para evitar bloqueos por límites de capacidad de IA, el código toma únicamente un bloque pequeño de registros (hasta 14 archivos) mediante la expresión take(body('Filter_array'), 14).</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pPr>
      <w:r w:rsidDel="00000000" w:rsidR="00000000" w:rsidRPr="00000000">
        <w:rPr>
          <w:rFonts w:ascii="Arial" w:cs="Arial" w:eastAsia="Arial" w:hAnsi="Arial"/>
          <w:b w:val="1"/>
          <w:bCs w:val="1"/>
          <w:rtl w:val="0"/>
        </w:rPr>
        <w:t xml:space="preserve">Ubicación del Documento:</w:t>
      </w:r>
      <w:r w:rsidDel="00000000" w:rsidR="00000000" w:rsidRPr="00000000">
        <w:rPr>
          <w:rFonts w:ascii="Arial" w:cs="Arial" w:eastAsia="Arial" w:hAnsi="Arial"/>
          <w:rtl w:val="0"/>
        </w:rPr>
        <w:t xml:space="preserve"> Dentro del bucle </w:t>
      </w:r>
      <w:r w:rsidDel="00000000" w:rsidR="00000000" w:rsidRPr="00000000">
        <w:rPr>
          <w:rFonts w:ascii="Arial" w:cs="Arial" w:eastAsia="Arial" w:hAnsi="Arial"/>
          <w:i w:val="1"/>
          <w:iCs w:val="1"/>
          <w:rtl w:val="0"/>
        </w:rPr>
        <w:t xml:space="preserve">Apply_to_each</w:t>
      </w:r>
      <w:r w:rsidDel="00000000" w:rsidR="00000000" w:rsidRPr="00000000">
        <w:rPr>
          <w:rFonts w:ascii="Arial" w:cs="Arial" w:eastAsia="Arial" w:hAnsi="Arial"/>
          <w:rtl w:val="0"/>
        </w:rPr>
        <w:t xml:space="preserve">, el flujo divide el texto de la columna "Nombres PDFs" (separado por " | ") y localiza el archivo que contenga la palabra Memoria_Anual o Reporte_de_Sostenibilidad.</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pPr>
      <w:r w:rsidDel="00000000" w:rsidR="00000000" w:rsidRPr="00000000">
        <w:rPr>
          <w:rFonts w:ascii="Arial" w:cs="Arial" w:eastAsia="Arial" w:hAnsi="Arial"/>
          <w:b w:val="1"/>
          <w:bCs w:val="1"/>
          <w:rtl w:val="0"/>
        </w:rPr>
        <w:t xml:space="preserve">Reconocimiento Óptico y Prompts (El core de IA):</w:t>
      </w:r>
    </w:p>
    <w:p w:rsidR="00000000" w:rsidDel="00000000" w:rsidP="00000000" w:rsidRDefault="00000000" w:rsidRPr="00000000" w14:paraId="0000000E">
      <w:pPr>
        <w:numPr>
          <w:ilvl w:val="1"/>
          <w:numId w:val="3"/>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rtl w:val="0"/>
        </w:rPr>
        <w:t xml:space="preserve">El archivo se obtiene desde SharePoint (GetFileContentByPath).</w:t>
      </w:r>
    </w:p>
    <w:p w:rsidR="00000000" w:rsidDel="00000000" w:rsidP="00000000" w:rsidRDefault="00000000" w:rsidRPr="00000000" w14:paraId="0000000F">
      <w:pPr>
        <w:numPr>
          <w:ilvl w:val="1"/>
          <w:numId w:val="3"/>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rtl w:val="0"/>
        </w:rPr>
        <w:t xml:space="preserve">Pasa por la acción nativa aibuilderpredict_textrecognition para convertir el PDF a texto (OCR).</w:t>
      </w:r>
    </w:p>
    <w:p w:rsidR="00000000" w:rsidDel="00000000" w:rsidP="00000000" w:rsidRDefault="00000000" w:rsidRPr="00000000" w14:paraId="00000010">
      <w:pPr>
        <w:numPr>
          <w:ilvl w:val="1"/>
          <w:numId w:val="3"/>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b w:val="1"/>
          <w:bCs w:val="1"/>
          <w:rtl w:val="0"/>
        </w:rPr>
        <w:t xml:space="preserve">Control de Longitud:</w:t>
      </w:r>
      <w:r w:rsidDel="00000000" w:rsidR="00000000" w:rsidRPr="00000000">
        <w:rPr>
          <w:rFonts w:ascii="Arial" w:cs="Arial" w:eastAsia="Arial" w:hAnsi="Arial"/>
          <w:rtl w:val="0"/>
        </w:rPr>
        <w:t xml:space="preserve"> Si el texto extraído supera los 450,000 caracteres, el código lo trunca automáticamente, uniendo las primeras 300,000 palabras con las últimas 150,000, evitando así errores de sobrecarga en el modelo de lenguaje.</w:t>
      </w:r>
    </w:p>
    <w:p w:rsidR="00000000" w:rsidDel="00000000" w:rsidP="00000000" w:rsidRDefault="00000000" w:rsidRPr="00000000" w14:paraId="00000011">
      <w:pPr>
        <w:numPr>
          <w:ilvl w:val="1"/>
          <w:numId w:val="3"/>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rtl w:val="0"/>
        </w:rPr>
        <w:t xml:space="preserve">Se invoca a un </w:t>
      </w:r>
      <w:r w:rsidDel="00000000" w:rsidR="00000000" w:rsidRPr="00000000">
        <w:rPr>
          <w:rFonts w:ascii="Arial" w:cs="Arial" w:eastAsia="Arial" w:hAnsi="Arial"/>
          <w:b w:val="1"/>
          <w:bCs w:val="1"/>
          <w:rtl w:val="0"/>
        </w:rPr>
        <w:t xml:space="preserve">Custom Prompt</w:t>
      </w:r>
      <w:r w:rsidDel="00000000" w:rsidR="00000000" w:rsidRPr="00000000">
        <w:rPr>
          <w:rFonts w:ascii="Arial" w:cs="Arial" w:eastAsia="Arial" w:hAnsi="Arial"/>
          <w:rtl w:val="0"/>
        </w:rPr>
        <w:t xml:space="preserve"> que recibe este texto OCR e identifica las entidades. El flujo luego limpia las respuestas cortando las cadenas a través de etiquetas esperadas como FEE:, AUDITOR:, ESTRUCTURA_SOLVENCIA:.</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120" w:line="300" w:lineRule="auto"/>
        <w:ind w:left="600" w:hanging="360"/>
      </w:pPr>
      <w:r w:rsidDel="00000000" w:rsidR="00000000" w:rsidRPr="00000000">
        <w:rPr>
          <w:rFonts w:ascii="Arial" w:cs="Arial" w:eastAsia="Arial" w:hAnsi="Arial"/>
          <w:b w:val="1"/>
          <w:bCs w:val="1"/>
          <w:rtl w:val="0"/>
        </w:rPr>
        <w:t xml:space="preserve">Actualización de la Matriz:</w:t>
      </w:r>
      <w:r w:rsidDel="00000000" w:rsidR="00000000" w:rsidRPr="00000000">
        <w:rPr>
          <w:rFonts w:ascii="Arial" w:cs="Arial" w:eastAsia="Arial" w:hAnsi="Arial"/>
          <w:rtl w:val="0"/>
        </w:rPr>
        <w:t xml:space="preserve"> Si la IA logra extraer los datos válidos (descartando respuestas como "S/" o "USD" vacíos), se ejecuta una acción </w:t>
      </w:r>
      <w:r w:rsidDel="00000000" w:rsidR="00000000" w:rsidRPr="00000000">
        <w:rPr>
          <w:rFonts w:ascii="Arial" w:cs="Arial" w:eastAsia="Arial" w:hAnsi="Arial"/>
          <w:i w:val="1"/>
          <w:iCs w:val="1"/>
          <w:rtl w:val="0"/>
        </w:rPr>
        <w:t xml:space="preserve">Update_a_row</w:t>
      </w:r>
      <w:r w:rsidDel="00000000" w:rsidR="00000000" w:rsidRPr="00000000">
        <w:rPr>
          <w:rFonts w:ascii="Arial" w:cs="Arial" w:eastAsia="Arial" w:hAnsi="Arial"/>
          <w:rtl w:val="0"/>
        </w:rPr>
        <w:t xml:space="preserve"> que sobrescribe la fila de la empresa en el Excel con los hallazgos definitivos.</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rPr>
          <w:rFonts w:ascii="Arial" w:cs="Arial" w:eastAsia="Arial" w:hAnsi="Arial"/>
          <w:color w:val="1f4e79"/>
        </w:rPr>
      </w:pPr>
      <w:r w:rsidDel="00000000" w:rsidR="00000000" w:rsidRPr="00000000">
        <w:rPr>
          <w:rFonts w:ascii="Arial" w:cs="Arial" w:eastAsia="Arial" w:hAnsi="Arial"/>
          <w:color w:val="1f4e79"/>
          <w:rtl w:val="0"/>
        </w:rPr>
        <w:t xml:space="preserve">4. Manejo de Errores Estructurado (Try-Catch)</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El bucle principal está envuelto en dos contenedores lógicos (Scopes) que actúan como un sistema Try-Catch de programación tradicional:</w:t>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hd w:fill="auto" w:val="clear"/>
        <w:spacing w:after="0" w:afterAutospacing="0" w:line="300" w:lineRule="auto"/>
        <w:ind w:left="600" w:hanging="360"/>
      </w:pPr>
      <w:r w:rsidDel="00000000" w:rsidR="00000000" w:rsidRPr="00000000">
        <w:rPr>
          <w:rFonts w:ascii="Arial" w:cs="Arial" w:eastAsia="Arial" w:hAnsi="Arial"/>
          <w:b w:val="1"/>
          <w:bCs w:val="1"/>
          <w:rtl w:val="0"/>
        </w:rPr>
        <w:t xml:space="preserve">Scope_Try:</w:t>
      </w:r>
      <w:r w:rsidDel="00000000" w:rsidR="00000000" w:rsidRPr="00000000">
        <w:rPr>
          <w:rFonts w:ascii="Arial" w:cs="Arial" w:eastAsia="Arial" w:hAnsi="Arial"/>
          <w:rtl w:val="0"/>
        </w:rPr>
        <w:t xml:space="preserve"> Intenta ejecutar toda la lectura y actualización.</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pPr>
      <w:r w:rsidDel="00000000" w:rsidR="00000000" w:rsidRPr="00000000">
        <w:rPr>
          <w:rFonts w:ascii="Arial" w:cs="Arial" w:eastAsia="Arial" w:hAnsi="Arial"/>
          <w:b w:val="1"/>
          <w:bCs w:val="1"/>
          <w:rtl w:val="0"/>
        </w:rPr>
        <w:t xml:space="preserve">Scope_Catch:</w:t>
      </w:r>
      <w:r w:rsidDel="00000000" w:rsidR="00000000" w:rsidRPr="00000000">
        <w:rPr>
          <w:rFonts w:ascii="Arial" w:cs="Arial" w:eastAsia="Arial" w:hAnsi="Arial"/>
          <w:rtl w:val="0"/>
        </w:rPr>
        <w:t xml:space="preserve"> Solo se activa si el Scope_Try falla o sufre un Timeout (ej. un PDF demasiado pesado o dañado). Cuando esto ocurre, guarda el nombre de la empresa en varFallidos y permite que el flujo continúe con la siguiente empresa sin detenerse por completo.</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spacing w:after="120" w:before="0" w:beforeAutospacing="0" w:line="300" w:lineRule="auto"/>
        <w:ind w:left="600" w:hanging="360"/>
      </w:pPr>
      <w:r w:rsidDel="00000000" w:rsidR="00000000" w:rsidRPr="00000000">
        <w:rPr>
          <w:rFonts w:ascii="Arial" w:cs="Arial" w:eastAsia="Arial" w:hAnsi="Arial"/>
          <w:b w:val="1"/>
          <w:bCs w:val="1"/>
          <w:rtl w:val="0"/>
        </w:rPr>
        <w:t xml:space="preserve">Alerta Final:</w:t>
      </w:r>
      <w:r w:rsidDel="00000000" w:rsidR="00000000" w:rsidRPr="00000000">
        <w:rPr>
          <w:rFonts w:ascii="Arial" w:cs="Arial" w:eastAsia="Arial" w:hAnsi="Arial"/>
          <w:rtl w:val="0"/>
        </w:rPr>
        <w:t xml:space="preserve"> Al terminar el ciclo, envía un correo de resumen consolidado a tu bandeja (alvaro.villanueva@pwc.com) mostrando cuántas se procesaron y cuáles fallaron para que puedan ser revisadas manualmente.</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rPr>
          <w:rFonts w:ascii="Arial" w:cs="Arial" w:eastAsia="Arial" w:hAnsi="Arial"/>
          <w:color w:val="1f4e79"/>
        </w:rPr>
      </w:pPr>
      <w:r w:rsidDel="00000000" w:rsidR="00000000" w:rsidRPr="00000000">
        <w:rPr>
          <w:rFonts w:ascii="Arial" w:cs="Arial" w:eastAsia="Arial" w:hAnsi="Arial"/>
          <w:color w:val="1f4e79"/>
          <w:rtl w:val="0"/>
        </w:rPr>
        <w:t xml:space="preserve">5. Recomendaciones Críticas para el Despliegue</w:t>
      </w:r>
    </w:p>
    <w:p w:rsidR="00000000" w:rsidDel="00000000" w:rsidP="00000000" w:rsidRDefault="00000000" w:rsidRPr="00000000" w14:paraId="00000019">
      <w:pPr>
        <w:numPr>
          <w:ilvl w:val="0"/>
          <w:numId w:val="5"/>
        </w:numPr>
        <w:pBdr>
          <w:top w:space="0" w:sz="0" w:val="nil"/>
          <w:left w:space="0" w:sz="0" w:val="nil"/>
          <w:bottom w:space="0" w:sz="0" w:val="nil"/>
          <w:right w:space="0" w:sz="0" w:val="nil"/>
          <w:between w:space="0" w:sz="0" w:val="nil"/>
        </w:pBdr>
        <w:shd w:fill="auto" w:val="clear"/>
        <w:spacing w:after="0" w:afterAutospacing="0" w:line="300" w:lineRule="auto"/>
        <w:ind w:left="600" w:hanging="360"/>
      </w:pPr>
      <w:r w:rsidDel="00000000" w:rsidR="00000000" w:rsidRPr="00000000">
        <w:rPr>
          <w:rFonts w:ascii="Arial" w:cs="Arial" w:eastAsia="Arial" w:hAnsi="Arial"/>
          <w:b w:val="1"/>
          <w:bCs w:val="1"/>
          <w:rtl w:val="0"/>
        </w:rPr>
        <w:t xml:space="preserve">Restauración de Conexiones (Dataverse):</w:t>
      </w:r>
      <w:r w:rsidDel="00000000" w:rsidR="00000000" w:rsidRPr="00000000">
        <w:rPr>
          <w:rFonts w:ascii="Arial" w:cs="Arial" w:eastAsia="Arial" w:hAnsi="Arial"/>
          <w:rtl w:val="0"/>
        </w:rPr>
        <w:t xml:space="preserve"> Al importar los paquetes .zip al portal, asegúrate de actualizar no solo las conexiones de Excel y SharePoint, sino muy especialmente el conector de </w:t>
      </w:r>
      <w:r w:rsidDel="00000000" w:rsidR="00000000" w:rsidRPr="00000000">
        <w:rPr>
          <w:rFonts w:ascii="Arial" w:cs="Arial" w:eastAsia="Arial" w:hAnsi="Arial"/>
          <w:b w:val="1"/>
          <w:bCs w:val="1"/>
          <w:rtl w:val="0"/>
        </w:rPr>
        <w:t xml:space="preserve">Microsoft Dataverse</w:t>
      </w:r>
      <w:r w:rsidDel="00000000" w:rsidR="00000000" w:rsidRPr="00000000">
        <w:rPr>
          <w:rFonts w:ascii="Arial" w:cs="Arial" w:eastAsia="Arial" w:hAnsi="Arial"/>
          <w:rtl w:val="0"/>
        </w:rPr>
        <w:t xml:space="preserve"> (shared_commondataserviceforapps). Sin esta conexión activa bajo tu licencia, las llamadas a AI Builder fallarán inmediatamente.</w:t>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pPr>
      <w:r w:rsidDel="00000000" w:rsidR="00000000" w:rsidRPr="00000000">
        <w:rPr>
          <w:rFonts w:ascii="Arial" w:cs="Arial" w:eastAsia="Arial" w:hAnsi="Arial"/>
          <w:b w:val="1"/>
          <w:bCs w:val="1"/>
          <w:rtl w:val="0"/>
        </w:rPr>
        <w:t xml:space="preserve">Gestión de Cuotas de IA:</w:t>
      </w:r>
      <w:r w:rsidDel="00000000" w:rsidR="00000000" w:rsidRPr="00000000">
        <w:rPr>
          <w:rFonts w:ascii="Arial" w:cs="Arial" w:eastAsia="Arial" w:hAnsi="Arial"/>
          <w:rtl w:val="0"/>
        </w:rPr>
        <w:t xml:space="preserve"> Como el flujo está limitado a extraer 14 registros por ejecución para proteger los créditos de AI Builder (AI capacity), tendrás que disparar el flujo varias veces de forma secuencial hasta que la bandeja de Excel esté completamente llena. </w:t>
      </w:r>
      <w:r w:rsidDel="00000000" w:rsidR="00000000" w:rsidRPr="00000000">
        <w:rPr>
          <w:rFonts w:ascii="Arial" w:cs="Arial" w:eastAsia="Arial" w:hAnsi="Arial"/>
          <w:b w:val="1"/>
          <w:bCs w:val="1"/>
          <w:rtl w:val="0"/>
        </w:rPr>
        <w:t xml:space="preserve">No aumentes la concurrencia del bucle</w:t>
      </w:r>
      <w:r w:rsidDel="00000000" w:rsidR="00000000" w:rsidRPr="00000000">
        <w:rPr>
          <w:rFonts w:ascii="Arial" w:cs="Arial" w:eastAsia="Arial" w:hAnsi="Arial"/>
          <w:rtl w:val="0"/>
        </w:rPr>
        <w:t xml:space="preserve">, mantenla en "1" (como está configurado nativamente) para evitar bloqueos por escritura simultánea en Excel Online.</w:t>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hd w:fill="auto" w:val="clear"/>
        <w:spacing w:after="120" w:before="0" w:beforeAutospacing="0" w:line="300" w:lineRule="auto"/>
        <w:ind w:left="600" w:hanging="360"/>
      </w:pPr>
      <w:r w:rsidDel="00000000" w:rsidR="00000000" w:rsidRPr="00000000">
        <w:rPr>
          <w:rFonts w:ascii="Arial" w:cs="Arial" w:eastAsia="Arial" w:hAnsi="Arial"/>
          <w:b w:val="1"/>
          <w:bCs w:val="1"/>
          <w:rtl w:val="0"/>
        </w:rPr>
        <w:t xml:space="preserve">Rutas Absolutas:</w:t>
      </w:r>
      <w:r w:rsidDel="00000000" w:rsidR="00000000" w:rsidRPr="00000000">
        <w:rPr>
          <w:rFonts w:ascii="Arial" w:cs="Arial" w:eastAsia="Arial" w:hAnsi="Arial"/>
          <w:rtl w:val="0"/>
        </w:rPr>
        <w:t xml:space="preserve"> Valida que la ruta estática configurada en el conector de SharePoint (ej. /Shared Documents/Proy_DataMart/Entidades de Regulación/...) sea la misma donde los scripts de Python están guardando la data.</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300" w:lineRule="auto"/>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300" w:lineRule="auto"/>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300" w:lineRule="auto"/>
        <w:rPr/>
      </w:pPr>
      <w:r w:rsidDel="00000000" w:rsidR="00000000" w:rsidRPr="00000000">
        <w:rPr>
          <w:b w:val="1"/>
          <w:bCs w:val="1"/>
          <w:color w:val="1f4e79"/>
          <w:sz w:val="36"/>
          <w:szCs w:val="36"/>
          <w:rtl w:val="0"/>
        </w:rPr>
        <w:t xml:space="preserve">6. Recomendación: Uso de la IA y ampliación de TOKENs</w:t>
      </w:r>
      <w:r w:rsidDel="00000000" w:rsidR="00000000" w:rsidRPr="00000000">
        <w:rPr>
          <w:rtl w:val="0"/>
        </w:rPr>
      </w:r>
    </w:p>
    <w:p w:rsidR="00000000" w:rsidDel="00000000" w:rsidP="00000000" w:rsidRDefault="00000000" w:rsidRPr="00000000" w14:paraId="0000001F">
      <w:pPr>
        <w:spacing w:after="240" w:before="240" w:line="300" w:lineRule="auto"/>
        <w:rPr/>
      </w:pPr>
      <w:r w:rsidDel="00000000" w:rsidR="00000000" w:rsidRPr="00000000">
        <w:rPr>
          <w:rtl w:val="0"/>
        </w:rPr>
        <w:t xml:space="preserve">El despliegue de los pipelines de automatización para la extracción de datos no estructurados de entidades regulatorias (SMV, BVL, SBS) ha demostrado el inmenso valor de integrar Inteligencia Artificial en nuestros flujos de trabajo. Sin embargo, para escalar este modelo dentro del área de Business Analytics y maximizar el impacto de nuestras herramientas internas (IFS), es imperativo ampliar la capacidad de tokens asignada.</w:t>
      </w:r>
    </w:p>
    <w:p w:rsidR="00000000" w:rsidDel="00000000" w:rsidP="00000000" w:rsidRDefault="00000000" w:rsidRPr="00000000" w14:paraId="00000020">
      <w:pPr>
        <w:spacing w:after="240" w:before="240" w:line="300" w:lineRule="auto"/>
        <w:rPr/>
      </w:pPr>
      <w:r w:rsidDel="00000000" w:rsidR="00000000" w:rsidRPr="00000000">
        <w:rPr>
          <w:rtl w:val="0"/>
        </w:rPr>
        <w:t xml:space="preserve">Actualmente, el flujo de procesamiento enfrenta cuellos de botella técnicos estrictamente ligados a las restricciones de tokens, lo que nos obliga a truncar documentos financieros complejos (limitando la lectura a 450,000 caracteres) y a procesar lotes muy pequeños (14 registros por ejecución). Ampliar esta capacidad generaría los siguientes beneficios directos:</w:t>
      </w:r>
    </w:p>
    <w:p w:rsidR="00000000" w:rsidDel="00000000" w:rsidP="00000000" w:rsidRDefault="00000000" w:rsidRPr="00000000" w14:paraId="00000021">
      <w:pPr>
        <w:pStyle w:val="Heading4"/>
        <w:spacing w:after="40" w:before="240" w:line="300" w:lineRule="auto"/>
        <w:rPr>
          <w:sz w:val="22"/>
          <w:szCs w:val="22"/>
        </w:rPr>
      </w:pPr>
      <w:bookmarkStart w:colFirst="0" w:colLast="0" w:name="_b0cwuf3uukrq" w:id="0"/>
      <w:bookmarkEnd w:id="0"/>
      <w:r w:rsidDel="00000000" w:rsidR="00000000" w:rsidRPr="00000000">
        <w:rPr>
          <w:sz w:val="22"/>
          <w:szCs w:val="22"/>
          <w:rtl w:val="0"/>
        </w:rPr>
        <w:t xml:space="preserve">1. Precisión Absoluta y Cero Pérdida de Datos (Zero-Truncation)</w:t>
      </w:r>
    </w:p>
    <w:p w:rsidR="00000000" w:rsidDel="00000000" w:rsidP="00000000" w:rsidRDefault="00000000" w:rsidRPr="00000000" w14:paraId="00000022">
      <w:pPr>
        <w:spacing w:after="240" w:before="240" w:line="300" w:lineRule="auto"/>
        <w:rPr/>
      </w:pPr>
      <w:r w:rsidDel="00000000" w:rsidR="00000000" w:rsidRPr="00000000">
        <w:rPr>
          <w:rtl w:val="0"/>
        </w:rPr>
        <w:t xml:space="preserve">Las Memorias Anuales y los Reportes de Sostenibilidad son documentos extensos y densos. Al tener un límite bajo de tokens, nos vemos forzados a cortar el texto (uniendo el principio y el final del documento) con el riesgo latente de perder la sección exacta donde se declara el </w:t>
      </w:r>
      <w:r w:rsidDel="00000000" w:rsidR="00000000" w:rsidRPr="00000000">
        <w:rPr>
          <w:i w:val="1"/>
          <w:iCs w:val="1"/>
          <w:rtl w:val="0"/>
        </w:rPr>
        <w:t xml:space="preserve">Auditor</w:t>
      </w:r>
      <w:r w:rsidDel="00000000" w:rsidR="00000000" w:rsidRPr="00000000">
        <w:rPr>
          <w:rtl w:val="0"/>
        </w:rPr>
        <w:t xml:space="preserve"> o el </w:t>
      </w:r>
      <w:r w:rsidDel="00000000" w:rsidR="00000000" w:rsidRPr="00000000">
        <w:rPr>
          <w:i w:val="1"/>
          <w:iCs w:val="1"/>
          <w:rtl w:val="0"/>
        </w:rPr>
        <w:t xml:space="preserve">Fee de Auditoría</w:t>
      </w:r>
      <w:r w:rsidDel="00000000" w:rsidR="00000000" w:rsidRPr="00000000">
        <w:rPr>
          <w:rtl w:val="0"/>
        </w:rPr>
        <w:t xml:space="preserve">. Más tokens significan una </w:t>
      </w:r>
      <w:r w:rsidDel="00000000" w:rsidR="00000000" w:rsidRPr="00000000">
        <w:rPr>
          <w:b w:val="1"/>
          <w:bCs w:val="1"/>
          <w:rtl w:val="0"/>
        </w:rPr>
        <w:t xml:space="preserve">ventana de contexto ampliada</w:t>
      </w:r>
      <w:r w:rsidDel="00000000" w:rsidR="00000000" w:rsidRPr="00000000">
        <w:rPr>
          <w:rtl w:val="0"/>
        </w:rPr>
        <w:t xml:space="preserve">, permitiendo que el modelo lea el 100% del documento de forma íntegra, elevando la precisión de extracción y eliminando los falsos negativos o valores "NO_IDENTIFICADO".</w:t>
      </w:r>
    </w:p>
    <w:p w:rsidR="00000000" w:rsidDel="00000000" w:rsidP="00000000" w:rsidRDefault="00000000" w:rsidRPr="00000000" w14:paraId="00000023">
      <w:pPr>
        <w:pStyle w:val="Heading4"/>
        <w:spacing w:after="40" w:before="240" w:line="300" w:lineRule="auto"/>
        <w:rPr>
          <w:sz w:val="22"/>
          <w:szCs w:val="22"/>
        </w:rPr>
      </w:pPr>
      <w:bookmarkStart w:colFirst="0" w:colLast="0" w:name="_985xd6hkndc" w:id="1"/>
      <w:bookmarkEnd w:id="1"/>
      <w:r w:rsidDel="00000000" w:rsidR="00000000" w:rsidRPr="00000000">
        <w:rPr>
          <w:sz w:val="22"/>
          <w:szCs w:val="22"/>
          <w:rtl w:val="0"/>
        </w:rPr>
        <w:t xml:space="preserve">2. Escalabilidad y Procesamiento en Masa</w:t>
      </w:r>
    </w:p>
    <w:p w:rsidR="00000000" w:rsidDel="00000000" w:rsidP="00000000" w:rsidRDefault="00000000" w:rsidRPr="00000000" w14:paraId="00000024">
      <w:pPr>
        <w:spacing w:after="240" w:before="240" w:line="300" w:lineRule="auto"/>
        <w:rPr/>
      </w:pPr>
      <w:r w:rsidDel="00000000" w:rsidR="00000000" w:rsidRPr="00000000">
        <w:rPr>
          <w:rtl w:val="0"/>
        </w:rPr>
        <w:t xml:space="preserve">La restricción actual nos obliga a estrangular el flujo para no consumir la cuota de AI Builder de golpe. Al incrementar la capacidad, pasaremos de procesar micro-lotes iterativos a realizar extracciones masivas y en paralelo. Esto reduce drásticamente el tiempo de ejecución del pipeline, logrando que los Data Marts se actualicen en minutos en lugar de horas o días, garantizando información siempre fresca para la toma de decisiones.</w:t>
      </w:r>
    </w:p>
    <w:p w:rsidR="00000000" w:rsidDel="00000000" w:rsidP="00000000" w:rsidRDefault="00000000" w:rsidRPr="00000000" w14:paraId="00000025">
      <w:pPr>
        <w:pStyle w:val="Heading4"/>
        <w:spacing w:after="40" w:before="240" w:line="300" w:lineRule="auto"/>
        <w:rPr>
          <w:sz w:val="22"/>
          <w:szCs w:val="22"/>
        </w:rPr>
      </w:pPr>
      <w:bookmarkStart w:colFirst="0" w:colLast="0" w:name="_rbno81kg1ndm" w:id="2"/>
      <w:bookmarkEnd w:id="2"/>
      <w:r w:rsidDel="00000000" w:rsidR="00000000" w:rsidRPr="00000000">
        <w:rPr>
          <w:sz w:val="22"/>
          <w:szCs w:val="22"/>
          <w:rtl w:val="0"/>
        </w:rPr>
        <w:t xml:space="preserve">3. Reducción de la Deuda Técnica y Mantenimiento</w:t>
      </w:r>
    </w:p>
    <w:p w:rsidR="00000000" w:rsidDel="00000000" w:rsidP="00000000" w:rsidRDefault="00000000" w:rsidRPr="00000000" w14:paraId="00000026">
      <w:pPr>
        <w:spacing w:after="240" w:before="240" w:line="300" w:lineRule="auto"/>
        <w:rPr/>
      </w:pPr>
      <w:r w:rsidDel="00000000" w:rsidR="00000000" w:rsidRPr="00000000">
        <w:rPr>
          <w:rtl w:val="0"/>
        </w:rPr>
        <w:t xml:space="preserve">Las lógicas complejas de compensación que hemos tenido que programar (como los bloques </w:t>
      </w:r>
      <w:r w:rsidDel="00000000" w:rsidR="00000000" w:rsidRPr="00000000">
        <w:rPr>
          <w:i w:val="1"/>
          <w:iCs w:val="1"/>
          <w:rtl w:val="0"/>
        </w:rPr>
        <w:t xml:space="preserve">Try-Catch</w:t>
      </w:r>
      <w:r w:rsidDel="00000000" w:rsidR="00000000" w:rsidRPr="00000000">
        <w:rPr>
          <w:rtl w:val="0"/>
        </w:rPr>
        <w:t xml:space="preserve"> específicos para manejar los </w:t>
      </w:r>
      <w:r w:rsidDel="00000000" w:rsidR="00000000" w:rsidRPr="00000000">
        <w:rPr>
          <w:i w:val="1"/>
          <w:iCs w:val="1"/>
          <w:rtl w:val="0"/>
        </w:rPr>
        <w:t xml:space="preserve">timeouts</w:t>
      </w:r>
      <w:r w:rsidDel="00000000" w:rsidR="00000000" w:rsidRPr="00000000">
        <w:rPr>
          <w:rtl w:val="0"/>
        </w:rPr>
        <w:t xml:space="preserve"> del modelo por sobrecarga de texto) desaparecerían. Con un límite de tokens adecuado al tamaño real de los documentos financieros corporativos, el flujo de Power Automate se vuelve más limpio, lineal y mucho menos propenso a fallos técnicos, reduciendo el tiempo invertido en mantenimiento.</w:t>
      </w:r>
    </w:p>
    <w:p w:rsidR="00000000" w:rsidDel="00000000" w:rsidP="00000000" w:rsidRDefault="00000000" w:rsidRPr="00000000" w14:paraId="00000027">
      <w:pPr>
        <w:pStyle w:val="Heading4"/>
        <w:spacing w:after="40" w:before="240" w:line="300" w:lineRule="auto"/>
        <w:rPr>
          <w:sz w:val="22"/>
          <w:szCs w:val="22"/>
        </w:rPr>
      </w:pPr>
      <w:bookmarkStart w:colFirst="0" w:colLast="0" w:name="_itwlq4w5pyik" w:id="3"/>
      <w:bookmarkEnd w:id="3"/>
      <w:r w:rsidDel="00000000" w:rsidR="00000000" w:rsidRPr="00000000">
        <w:rPr>
          <w:sz w:val="22"/>
          <w:szCs w:val="22"/>
          <w:rtl w:val="0"/>
        </w:rPr>
        <w:t xml:space="preserve">4. Evolución hacia Casos de Uso Más Complejos</w:t>
      </w:r>
    </w:p>
    <w:p w:rsidR="00000000" w:rsidDel="00000000" w:rsidP="00000000" w:rsidRDefault="00000000" w:rsidRPr="00000000" w14:paraId="00000028">
      <w:pPr>
        <w:spacing w:after="240" w:before="240" w:line="300" w:lineRule="auto"/>
        <w:rPr/>
      </w:pPr>
      <w:r w:rsidDel="00000000" w:rsidR="00000000" w:rsidRPr="00000000">
        <w:rPr>
          <w:rtl w:val="0"/>
        </w:rPr>
        <w:t xml:space="preserve">Al liberar la restricción de tokens, no solo optimizamos lo que ya tenemos, sino que abrimos la puerta a prompts mucho más sofisticados. En lugar de extraer solo dos o tres campos, la IA tendría la capacidad de generar resúmenes ejecutivos de riesgos, analizar el tono del reporte de sostenibilidad o extraer tablas financieras completas en un solo pase. Esto enriquece directamente la calidad de los modelos de segmentación y análisis de mercado sin esfuerzo operativo adicional.</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300" w:lineRule="auto"/>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