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EduConnect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22-08-2025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Colegio Instituto America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propósito del proyecto APT es implementar un sistema web responsivo para la gestión de notas y asistencias del Colegio Instituto America. La solución permitirá centralizar la información académica, facilitar la comunicación entre profesores, alumnos y tutores, y generar reportes semestrales oficiales. Se justifica por la necesidad de mejorar la trazabilidad de evaluaciones, la eficiencia en la gestión de matrículas y asistencias, y entregar información confiable a apoderados y autoridades del establecimiento.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APT será una aplicación web con control de acceso basado en roles (Administrador, Profesor, Alumno, Tutor). El sistema permitirá: autenticación segura, gestión de usuarios, gestión de cursos y asignaturas, edición y publicación de notas por parte del profesor, registro de asistencias por sesión, auditoría de acciones, y generación de reportes semestrales en PDF/CSV.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1. Documento de Requerimientos completo.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ind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2. Acta de Constitución firmada.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ind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3. Aplicación web desplegada en entorno de pruebas (staging).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ind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4. Manual de usuario y capacitación para administradores y profesores.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5. Reportes semestrales exportables en PDF.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6. Código fuente y scripts de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gxpomrv7dvk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xj5ndbm79ba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owzsqkl4hf2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ir6omt183i2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u2xnwir3ottz" w:id="9"/>
      <w:bookmarkEnd w:id="9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Autenticación y RBAC (Administrador, Profesor, Alumno, Tutor).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Registro de asistencias por sesión/clase.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Editor de notas con estado borrador/publicado (publicación manual por profesor).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Gestión de usuarios, cursos y asignaciones por matrícula.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Reportes semestrales y exportes en PDF/CSV.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Importación inicial de datos por CSV y opción de SSO como mejora futura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ind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Fase 0 (2 semanas): Levantamiento final de requisitos y preparación de datos (plantillas CSV).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75%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Fase 1 (6 semanas): Desarrollo del MVP (autenticación, gestión usuarios, editor de notas y asistencias).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Fase 2 (3 semanas): Reportes, auditoría, UI/UX finales y pruebas de aceptación.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Fase 3 (1 semana): Despliegue a producción y capacitación.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0"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PC de gama media para servidor (CPU i5, 16GB RAM, SSD 512GB)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Registro de dominio educativo (opcional)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Material de capacitación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Cumplir WCAG AA en interfaces críticas.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Pruebas unitarias y de integración para lógica de negocio.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Pruebas de seguridad básicas (OWASP top 10).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Rendimiento: páginas críticas &lt; 2s (95% peticiones)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Retención de datos: 1 año (salvo requisito legal que indique lo contrario).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xl2bkyyil928" w:id="10"/>
      <w:bookmarkEnd w:id="10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Los principales riesgos que encontramos son: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ind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Calidad o formato inconsistente de los listados CSV proporcionados por el colegio.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ind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Falta de disponibilidad de un responsable técnico en el colegio para configurar SSO/SMTP.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ind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Cambios de alcance por requerimientos adicionales que amplíen el proyecto.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Riesgos de seguridad si no se implementan controles de acceso y cifrado adecuados.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dy6vkm" w:id="11"/>
      <w:bookmarkEnd w:id="11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ind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Hito: Preparación de datos (CSV)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ind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 semanas desde inicio del proyecto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Entrega MVP en staging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 semanas desde inicio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Pruebas de aceptación y reportes finales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11 semanas desde inicio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1t3h5sf" w:id="12"/>
      <w:bookmarkEnd w:id="12"/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PC de gama media para servidor (CPU i5, 16GB RAM, SSD 512GB):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$600.000 CLP</w:t>
              <w:br w:type="textWrapping"/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Registro de dominio educativo (opcional):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$50.000 CLP</w:t>
              <w:br w:type="textWrapping"/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Material de capacitación y documentación: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$100.000 CLP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Contingencia (10%):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$75.000 CLP</w:t>
              <w:br w:type="textWrapping"/>
            </w:r>
          </w:p>
          <w:p w:rsidR="00000000" w:rsidDel="00000000" w:rsidP="00000000" w:rsidRDefault="00000000" w:rsidRPr="00000000" w14:paraId="0000007C">
            <w:pPr>
              <w:spacing w:after="240" w:before="240" w:line="240" w:lineRule="auto"/>
              <w:ind w:firstLine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estimado: $825.000 CLP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Colegio Instituto América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Cliente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Establecimiento Educacional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Profesores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Alumnos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Tutores / Apoderados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Usuarios de apoyo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Comunidad escolar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2s8eyo1" w:id="13"/>
      <w:bookmarkEnd w:id="1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93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bookmarkStart w:colFirst="0" w:colLast="0" w:name="_heading=h.17dp8vu" w:id="14"/>
      <w:bookmarkEnd w:id="14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240" w:before="24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patrocinador aprueba asignación de recursos clave. El gerente de proyecto puede proponer recursos y contratar con el proveedor dentro del presupuesto aprobado.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before="24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patrocinador (Don Álvaro Fredes) autoriza variaciones mayores al 10% del presupuesto aprobado. Variaciones menores pueden ser aprobadas por el Gerente de Proyecto dentro de límites preestablecidos.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equipo técnico propone soluciones y el Gerente de Proyecto valida alineación con objetivos; decisiones técnicas críticas se elevan al patrocinador.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Gerente de Proyecto mediará inicialmente; si no hay resolución, escalará al patrocinador.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40" w:before="24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Cualquier decisión con impacto en el alcance o presupuesto mayor al 10% se escalara al patrocinador. Las decisiones operativas diarias quedan a cargo del Gerente de Proyecto.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Personal y recursos preasignados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 Desarrolladores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Alvaro Fredes y Eugenio Correa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left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3">
            <w:pPr>
              <w:pStyle w:val="Heading2"/>
              <w:spacing w:after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Style w:val="Heading2"/>
              <w:spacing w:before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6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7">
            <w:pPr>
              <w:pStyle w:val="Heading2"/>
              <w:spacing w:after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Style w:val="Heading2"/>
              <w:spacing w:before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9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A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B">
            <w:pPr>
              <w:pStyle w:val="Heading2"/>
              <w:spacing w:after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Style w:val="Heading2"/>
              <w:spacing w:before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D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spacing w:after="280" w:before="280" w:lineRule="auto"/>
        <w:ind w:left="0" w:hanging="2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Szveu5o6YFQSoghvG6FxLOP1A==">CgMxLjAyCGguZ2pkZ3hzMgloLjMwajB6bGwyCWguMWZvYjl0ZTIJaC4zem55c2g3MgloLjJldDkycDAyDmguZ3hwb21ydjdkdmsyMg5oLnhqNW5kYm03OWJhejIOaC5vd3pzcWtsNGhmMnQyDmguaXI2b210MTgzaTJqMg5oLnUyeG53aXIzb3R0ejIOaC54bDJia3l5aWw5MjgyCWguM2R5NnZrbTIJaC4xdDNoNXNmMgloLjJzOGV5bzEyCWguMTdkcDh2dTIJaC4yNmluMXJnOAByITFJcm9HNGN2Qm1ISXZ0OGZtaFlzamZCbVhoZXZXZDBo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