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0463D" w14:textId="4535E466" w:rsidR="00096D9A" w:rsidRDefault="00096D9A" w:rsidP="00896C2E">
      <w:r w:rsidRPr="00C92F2E">
        <w:t xml:space="preserve">Further information available on </w:t>
      </w:r>
      <w:proofErr w:type="spellStart"/>
      <w:r w:rsidRPr="00C92F2E">
        <w:t>Figshare</w:t>
      </w:r>
      <w:proofErr w:type="spellEnd"/>
      <w:r w:rsidRPr="00C92F2E">
        <w:t xml:space="preserve"> for Burden AD, </w:t>
      </w:r>
      <w:r w:rsidRPr="00BA55AE">
        <w:rPr>
          <w:i/>
          <w:iCs/>
        </w:rPr>
        <w:t>et al</w:t>
      </w:r>
      <w:r w:rsidRPr="00C92F2E">
        <w:t>. ‘The Generalized Pustular Psoriasis Physician Global Assessment (GPPGA) score: online assessment and validation study of a specific measure of GPP disease activity’</w:t>
      </w:r>
    </w:p>
    <w:p w14:paraId="3F87EC54" w14:textId="77777777" w:rsidR="00BA55AE" w:rsidRPr="00C92F2E" w:rsidRDefault="00BA55AE" w:rsidP="00896C2E"/>
    <w:sdt>
      <w:sdtPr>
        <w:rPr>
          <w:rFonts w:ascii="Times New Roman" w:eastAsiaTheme="minorHAnsi" w:hAnsi="Times New Roman" w:cs="Times New Roman"/>
          <w:color w:val="auto"/>
          <w:sz w:val="22"/>
          <w:szCs w:val="22"/>
          <w:lang w:val="en-GB"/>
        </w:rPr>
        <w:id w:val="-1500273391"/>
        <w:docPartObj>
          <w:docPartGallery w:val="Table of Contents"/>
          <w:docPartUnique/>
        </w:docPartObj>
      </w:sdtPr>
      <w:sdtEndPr>
        <w:rPr>
          <w:b/>
          <w:bCs/>
          <w:noProof/>
        </w:rPr>
      </w:sdtEndPr>
      <w:sdtContent>
        <w:p w14:paraId="43C3170C" w14:textId="45B88818" w:rsidR="00096D9A" w:rsidRPr="00C92F2E" w:rsidRDefault="00096D9A" w:rsidP="00896C2E">
          <w:pPr>
            <w:pStyle w:val="TOCHeading"/>
          </w:pPr>
          <w:r w:rsidRPr="00C92F2E">
            <w:t>Contents</w:t>
          </w:r>
        </w:p>
        <w:p w14:paraId="2E7ECE46" w14:textId="05BCFFB2" w:rsidR="00C865CD" w:rsidRDefault="00096D9A">
          <w:pPr>
            <w:pStyle w:val="TOC1"/>
            <w:tabs>
              <w:tab w:val="right" w:leader="dot" w:pos="9016"/>
            </w:tabs>
            <w:rPr>
              <w:rFonts w:asciiTheme="minorHAnsi" w:eastAsiaTheme="minorEastAsia" w:hAnsiTheme="minorHAnsi" w:cstheme="minorBidi"/>
              <w:noProof/>
              <w:lang w:eastAsia="en-GB"/>
            </w:rPr>
          </w:pPr>
          <w:r w:rsidRPr="00C92F2E">
            <w:fldChar w:fldCharType="begin"/>
          </w:r>
          <w:r w:rsidRPr="00C92F2E">
            <w:instrText xml:space="preserve"> TOC \o "1-3" \h \z \u </w:instrText>
          </w:r>
          <w:r w:rsidRPr="00C92F2E">
            <w:fldChar w:fldCharType="separate"/>
          </w:r>
          <w:hyperlink w:anchor="_Toc110258051" w:history="1">
            <w:r w:rsidR="00C865CD" w:rsidRPr="00055BBF">
              <w:rPr>
                <w:rStyle w:val="Hyperlink"/>
                <w:noProof/>
              </w:rPr>
              <w:t>The GPPGA score</w:t>
            </w:r>
            <w:r w:rsidR="00C865CD">
              <w:rPr>
                <w:noProof/>
                <w:webHidden/>
              </w:rPr>
              <w:tab/>
            </w:r>
            <w:r w:rsidR="00C865CD">
              <w:rPr>
                <w:noProof/>
                <w:webHidden/>
              </w:rPr>
              <w:fldChar w:fldCharType="begin"/>
            </w:r>
            <w:r w:rsidR="00C865CD">
              <w:rPr>
                <w:noProof/>
                <w:webHidden/>
              </w:rPr>
              <w:instrText xml:space="preserve"> PAGEREF _Toc110258051 \h </w:instrText>
            </w:r>
            <w:r w:rsidR="00C865CD">
              <w:rPr>
                <w:noProof/>
                <w:webHidden/>
              </w:rPr>
            </w:r>
            <w:r w:rsidR="00C865CD">
              <w:rPr>
                <w:noProof/>
                <w:webHidden/>
              </w:rPr>
              <w:fldChar w:fldCharType="separate"/>
            </w:r>
            <w:r w:rsidR="00C865CD">
              <w:rPr>
                <w:noProof/>
                <w:webHidden/>
              </w:rPr>
              <w:t>2</w:t>
            </w:r>
            <w:r w:rsidR="00C865CD">
              <w:rPr>
                <w:noProof/>
                <w:webHidden/>
              </w:rPr>
              <w:fldChar w:fldCharType="end"/>
            </w:r>
          </w:hyperlink>
        </w:p>
        <w:p w14:paraId="51BC161D" w14:textId="3B097F3D" w:rsidR="00C865CD" w:rsidRDefault="009F376C">
          <w:pPr>
            <w:pStyle w:val="TOC1"/>
            <w:tabs>
              <w:tab w:val="right" w:leader="dot" w:pos="9016"/>
            </w:tabs>
            <w:rPr>
              <w:rFonts w:asciiTheme="minorHAnsi" w:eastAsiaTheme="minorEastAsia" w:hAnsiTheme="minorHAnsi" w:cstheme="minorBidi"/>
              <w:noProof/>
              <w:lang w:eastAsia="en-GB"/>
            </w:rPr>
          </w:pPr>
          <w:hyperlink w:anchor="_Toc110258052" w:history="1">
            <w:r w:rsidR="00C865CD" w:rsidRPr="00055BBF">
              <w:rPr>
                <w:rStyle w:val="Hyperlink"/>
                <w:noProof/>
              </w:rPr>
              <w:t>What is known and what this study adds</w:t>
            </w:r>
            <w:r w:rsidR="00C865CD">
              <w:rPr>
                <w:noProof/>
                <w:webHidden/>
              </w:rPr>
              <w:tab/>
            </w:r>
            <w:r w:rsidR="00C865CD">
              <w:rPr>
                <w:noProof/>
                <w:webHidden/>
              </w:rPr>
              <w:fldChar w:fldCharType="begin"/>
            </w:r>
            <w:r w:rsidR="00C865CD">
              <w:rPr>
                <w:noProof/>
                <w:webHidden/>
              </w:rPr>
              <w:instrText xml:space="preserve"> PAGEREF _Toc110258052 \h </w:instrText>
            </w:r>
            <w:r w:rsidR="00C865CD">
              <w:rPr>
                <w:noProof/>
                <w:webHidden/>
              </w:rPr>
            </w:r>
            <w:r w:rsidR="00C865CD">
              <w:rPr>
                <w:noProof/>
                <w:webHidden/>
              </w:rPr>
              <w:fldChar w:fldCharType="separate"/>
            </w:r>
            <w:r w:rsidR="00C865CD">
              <w:rPr>
                <w:noProof/>
                <w:webHidden/>
              </w:rPr>
              <w:t>3</w:t>
            </w:r>
            <w:r w:rsidR="00C865CD">
              <w:rPr>
                <w:noProof/>
                <w:webHidden/>
              </w:rPr>
              <w:fldChar w:fldCharType="end"/>
            </w:r>
          </w:hyperlink>
        </w:p>
        <w:p w14:paraId="37A949B3" w14:textId="081763CE" w:rsidR="00C865CD" w:rsidRDefault="009F376C">
          <w:pPr>
            <w:pStyle w:val="TOC1"/>
            <w:tabs>
              <w:tab w:val="right" w:leader="dot" w:pos="9016"/>
            </w:tabs>
            <w:rPr>
              <w:rFonts w:asciiTheme="minorHAnsi" w:eastAsiaTheme="minorEastAsia" w:hAnsiTheme="minorHAnsi" w:cstheme="minorBidi"/>
              <w:noProof/>
              <w:lang w:eastAsia="en-GB"/>
            </w:rPr>
          </w:pPr>
          <w:hyperlink w:anchor="_Toc110258053" w:history="1">
            <w:r w:rsidR="00C865CD" w:rsidRPr="00055BBF">
              <w:rPr>
                <w:rStyle w:val="Hyperlink"/>
                <w:noProof/>
              </w:rPr>
              <w:t>Plain language summary</w:t>
            </w:r>
            <w:r w:rsidR="00C865CD">
              <w:rPr>
                <w:noProof/>
                <w:webHidden/>
              </w:rPr>
              <w:tab/>
            </w:r>
            <w:r w:rsidR="00C865CD">
              <w:rPr>
                <w:noProof/>
                <w:webHidden/>
              </w:rPr>
              <w:fldChar w:fldCharType="begin"/>
            </w:r>
            <w:r w:rsidR="00C865CD">
              <w:rPr>
                <w:noProof/>
                <w:webHidden/>
              </w:rPr>
              <w:instrText xml:space="preserve"> PAGEREF _Toc110258053 \h </w:instrText>
            </w:r>
            <w:r w:rsidR="00C865CD">
              <w:rPr>
                <w:noProof/>
                <w:webHidden/>
              </w:rPr>
            </w:r>
            <w:r w:rsidR="00C865CD">
              <w:rPr>
                <w:noProof/>
                <w:webHidden/>
              </w:rPr>
              <w:fldChar w:fldCharType="separate"/>
            </w:r>
            <w:r w:rsidR="00C865CD">
              <w:rPr>
                <w:noProof/>
                <w:webHidden/>
              </w:rPr>
              <w:t>4</w:t>
            </w:r>
            <w:r w:rsidR="00C865CD">
              <w:rPr>
                <w:noProof/>
                <w:webHidden/>
              </w:rPr>
              <w:fldChar w:fldCharType="end"/>
            </w:r>
          </w:hyperlink>
        </w:p>
        <w:p w14:paraId="747D38D5" w14:textId="7A6943C9" w:rsidR="00C865CD" w:rsidRDefault="009F376C">
          <w:pPr>
            <w:pStyle w:val="TOC1"/>
            <w:tabs>
              <w:tab w:val="right" w:leader="dot" w:pos="9016"/>
            </w:tabs>
            <w:rPr>
              <w:rFonts w:asciiTheme="minorHAnsi" w:eastAsiaTheme="minorEastAsia" w:hAnsiTheme="minorHAnsi" w:cstheme="minorBidi"/>
              <w:noProof/>
              <w:lang w:eastAsia="en-GB"/>
            </w:rPr>
          </w:pPr>
          <w:hyperlink w:anchor="_Toc110258054" w:history="1">
            <w:r w:rsidR="00C865CD" w:rsidRPr="00055BBF">
              <w:rPr>
                <w:rStyle w:val="Hyperlink"/>
                <w:noProof/>
              </w:rPr>
              <w:t>Excerpted pages from the GPPASI and GPPGA pocket guide</w:t>
            </w:r>
            <w:r w:rsidR="00C865CD">
              <w:rPr>
                <w:noProof/>
                <w:webHidden/>
              </w:rPr>
              <w:tab/>
            </w:r>
            <w:r w:rsidR="00C865CD">
              <w:rPr>
                <w:noProof/>
                <w:webHidden/>
              </w:rPr>
              <w:fldChar w:fldCharType="begin"/>
            </w:r>
            <w:r w:rsidR="00C865CD">
              <w:rPr>
                <w:noProof/>
                <w:webHidden/>
              </w:rPr>
              <w:instrText xml:space="preserve"> PAGEREF _Toc110258054 \h </w:instrText>
            </w:r>
            <w:r w:rsidR="00C865CD">
              <w:rPr>
                <w:noProof/>
                <w:webHidden/>
              </w:rPr>
            </w:r>
            <w:r w:rsidR="00C865CD">
              <w:rPr>
                <w:noProof/>
                <w:webHidden/>
              </w:rPr>
              <w:fldChar w:fldCharType="separate"/>
            </w:r>
            <w:r w:rsidR="00C865CD">
              <w:rPr>
                <w:noProof/>
                <w:webHidden/>
              </w:rPr>
              <w:t>5</w:t>
            </w:r>
            <w:r w:rsidR="00C865CD">
              <w:rPr>
                <w:noProof/>
                <w:webHidden/>
              </w:rPr>
              <w:fldChar w:fldCharType="end"/>
            </w:r>
          </w:hyperlink>
        </w:p>
        <w:p w14:paraId="02FA374C" w14:textId="6B43A0C4" w:rsidR="00C865CD" w:rsidRDefault="009F376C">
          <w:pPr>
            <w:pStyle w:val="TOC1"/>
            <w:tabs>
              <w:tab w:val="right" w:leader="dot" w:pos="9016"/>
            </w:tabs>
            <w:rPr>
              <w:rFonts w:asciiTheme="minorHAnsi" w:eastAsiaTheme="minorEastAsia" w:hAnsiTheme="minorHAnsi" w:cstheme="minorBidi"/>
              <w:noProof/>
              <w:lang w:eastAsia="en-GB"/>
            </w:rPr>
          </w:pPr>
          <w:hyperlink w:anchor="_Toc110258055" w:history="1">
            <w:r w:rsidR="00C865CD" w:rsidRPr="00055BBF">
              <w:rPr>
                <w:rStyle w:val="Hyperlink"/>
                <w:noProof/>
              </w:rPr>
              <w:t>Patient images and online portal</w:t>
            </w:r>
            <w:r w:rsidR="00C865CD">
              <w:rPr>
                <w:noProof/>
                <w:webHidden/>
              </w:rPr>
              <w:tab/>
            </w:r>
            <w:r w:rsidR="00C865CD">
              <w:rPr>
                <w:noProof/>
                <w:webHidden/>
              </w:rPr>
              <w:fldChar w:fldCharType="begin"/>
            </w:r>
            <w:r w:rsidR="00C865CD">
              <w:rPr>
                <w:noProof/>
                <w:webHidden/>
              </w:rPr>
              <w:instrText xml:space="preserve"> PAGEREF _Toc110258055 \h </w:instrText>
            </w:r>
            <w:r w:rsidR="00C865CD">
              <w:rPr>
                <w:noProof/>
                <w:webHidden/>
              </w:rPr>
            </w:r>
            <w:r w:rsidR="00C865CD">
              <w:rPr>
                <w:noProof/>
                <w:webHidden/>
              </w:rPr>
              <w:fldChar w:fldCharType="separate"/>
            </w:r>
            <w:r w:rsidR="00C865CD">
              <w:rPr>
                <w:noProof/>
                <w:webHidden/>
              </w:rPr>
              <w:t>10</w:t>
            </w:r>
            <w:r w:rsidR="00C865CD">
              <w:rPr>
                <w:noProof/>
                <w:webHidden/>
              </w:rPr>
              <w:fldChar w:fldCharType="end"/>
            </w:r>
          </w:hyperlink>
        </w:p>
        <w:p w14:paraId="54281216" w14:textId="6F6279D1" w:rsidR="00C865CD" w:rsidRDefault="009F376C">
          <w:pPr>
            <w:pStyle w:val="TOC1"/>
            <w:tabs>
              <w:tab w:val="right" w:leader="dot" w:pos="9016"/>
            </w:tabs>
            <w:rPr>
              <w:rFonts w:asciiTheme="minorHAnsi" w:eastAsiaTheme="minorEastAsia" w:hAnsiTheme="minorHAnsi" w:cstheme="minorBidi"/>
              <w:noProof/>
              <w:lang w:eastAsia="en-GB"/>
            </w:rPr>
          </w:pPr>
          <w:hyperlink w:anchor="_Toc110258056" w:history="1">
            <w:r w:rsidR="00C865CD" w:rsidRPr="00055BBF">
              <w:rPr>
                <w:rStyle w:val="Hyperlink"/>
                <w:noProof/>
              </w:rPr>
              <w:t>Intra- and inter-rater statistical analyses</w:t>
            </w:r>
            <w:r w:rsidR="00C865CD">
              <w:rPr>
                <w:noProof/>
                <w:webHidden/>
              </w:rPr>
              <w:tab/>
            </w:r>
            <w:r w:rsidR="00C865CD">
              <w:rPr>
                <w:noProof/>
                <w:webHidden/>
              </w:rPr>
              <w:fldChar w:fldCharType="begin"/>
            </w:r>
            <w:r w:rsidR="00C865CD">
              <w:rPr>
                <w:noProof/>
                <w:webHidden/>
              </w:rPr>
              <w:instrText xml:space="preserve"> PAGEREF _Toc110258056 \h </w:instrText>
            </w:r>
            <w:r w:rsidR="00C865CD">
              <w:rPr>
                <w:noProof/>
                <w:webHidden/>
              </w:rPr>
            </w:r>
            <w:r w:rsidR="00C865CD">
              <w:rPr>
                <w:noProof/>
                <w:webHidden/>
              </w:rPr>
              <w:fldChar w:fldCharType="separate"/>
            </w:r>
            <w:r w:rsidR="00C865CD">
              <w:rPr>
                <w:noProof/>
                <w:webHidden/>
              </w:rPr>
              <w:t>12</w:t>
            </w:r>
            <w:r w:rsidR="00C865CD">
              <w:rPr>
                <w:noProof/>
                <w:webHidden/>
              </w:rPr>
              <w:fldChar w:fldCharType="end"/>
            </w:r>
          </w:hyperlink>
        </w:p>
        <w:p w14:paraId="204AA7AB" w14:textId="68DAF865" w:rsidR="00C865CD" w:rsidRDefault="009F376C">
          <w:pPr>
            <w:pStyle w:val="TOC1"/>
            <w:tabs>
              <w:tab w:val="right" w:leader="dot" w:pos="9016"/>
            </w:tabs>
            <w:rPr>
              <w:rFonts w:asciiTheme="minorHAnsi" w:eastAsiaTheme="minorEastAsia" w:hAnsiTheme="minorHAnsi" w:cstheme="minorBidi"/>
              <w:noProof/>
              <w:lang w:eastAsia="en-GB"/>
            </w:rPr>
          </w:pPr>
          <w:hyperlink w:anchor="_Toc110258057" w:history="1">
            <w:r w:rsidR="00C865CD" w:rsidRPr="00055BBF">
              <w:rPr>
                <w:rStyle w:val="Hyperlink"/>
                <w:noProof/>
              </w:rPr>
              <w:t>Intra- and inter-rater reliability among dermatologists</w:t>
            </w:r>
            <w:r w:rsidR="00C865CD">
              <w:rPr>
                <w:noProof/>
                <w:webHidden/>
              </w:rPr>
              <w:tab/>
            </w:r>
            <w:r w:rsidR="00C865CD">
              <w:rPr>
                <w:noProof/>
                <w:webHidden/>
              </w:rPr>
              <w:fldChar w:fldCharType="begin"/>
            </w:r>
            <w:r w:rsidR="00C865CD">
              <w:rPr>
                <w:noProof/>
                <w:webHidden/>
              </w:rPr>
              <w:instrText xml:space="preserve"> PAGEREF _Toc110258057 \h </w:instrText>
            </w:r>
            <w:r w:rsidR="00C865CD">
              <w:rPr>
                <w:noProof/>
                <w:webHidden/>
              </w:rPr>
            </w:r>
            <w:r w:rsidR="00C865CD">
              <w:rPr>
                <w:noProof/>
                <w:webHidden/>
              </w:rPr>
              <w:fldChar w:fldCharType="separate"/>
            </w:r>
            <w:r w:rsidR="00C865CD">
              <w:rPr>
                <w:noProof/>
                <w:webHidden/>
              </w:rPr>
              <w:t>13</w:t>
            </w:r>
            <w:r w:rsidR="00C865CD">
              <w:rPr>
                <w:noProof/>
                <w:webHidden/>
              </w:rPr>
              <w:fldChar w:fldCharType="end"/>
            </w:r>
          </w:hyperlink>
        </w:p>
        <w:p w14:paraId="2E580A44" w14:textId="6B0F1526" w:rsidR="00096D9A" w:rsidRPr="00C92F2E" w:rsidRDefault="00096D9A" w:rsidP="00896C2E">
          <w:r w:rsidRPr="00C92F2E">
            <w:fldChar w:fldCharType="end"/>
          </w:r>
        </w:p>
      </w:sdtContent>
    </w:sdt>
    <w:p w14:paraId="5BAFBB04" w14:textId="77777777" w:rsidR="00096D9A" w:rsidRPr="00C92F2E" w:rsidRDefault="00096D9A" w:rsidP="00896C2E">
      <w:pPr>
        <w:pStyle w:val="Heading1"/>
      </w:pPr>
      <w:r w:rsidRPr="00C92F2E">
        <w:br w:type="page"/>
      </w:r>
    </w:p>
    <w:p w14:paraId="0F450A78" w14:textId="77777777" w:rsidR="001C0F9A" w:rsidRDefault="00123E25" w:rsidP="00123E25">
      <w:pPr>
        <w:pStyle w:val="Heading1"/>
      </w:pPr>
      <w:bookmarkStart w:id="0" w:name="_Toc110258051"/>
      <w:r w:rsidRPr="00C92F2E">
        <w:lastRenderedPageBreak/>
        <w:t>The GPPGA score</w:t>
      </w:r>
      <w:bookmarkEnd w:id="0"/>
      <w:r w:rsidRPr="00C92F2E">
        <w:t xml:space="preserve"> </w:t>
      </w:r>
    </w:p>
    <w:p w14:paraId="6191F20A" w14:textId="77777777" w:rsidR="00123E25" w:rsidRPr="00A36FBF" w:rsidRDefault="00123E25" w:rsidP="00123E25">
      <w:r>
        <w:rPr>
          <w:i/>
          <w:iCs/>
        </w:rPr>
        <w:t>Development</w:t>
      </w:r>
    </w:p>
    <w:p w14:paraId="36FF475E" w14:textId="1A0EC3B6" w:rsidR="00123E25" w:rsidRPr="00896C2E" w:rsidRDefault="00123E25" w:rsidP="00123E25">
      <w:r w:rsidRPr="00896C2E">
        <w:t xml:space="preserve">Boehringer Ingelheim collaborated with leading global experts in generalized pustular psoriasis (GPP) to agree on the three key manifestations of </w:t>
      </w:r>
      <w:r w:rsidR="007A2F6A">
        <w:t>generalized pustular psoriasis (</w:t>
      </w:r>
      <w:r w:rsidRPr="00896C2E">
        <w:t>GPP</w:t>
      </w:r>
      <w:r w:rsidR="007A2F6A">
        <w:t>)</w:t>
      </w:r>
      <w:r w:rsidRPr="00896C2E">
        <w:t xml:space="preserve"> that should be </w:t>
      </w:r>
      <w:proofErr w:type="gramStart"/>
      <w:r w:rsidRPr="00896C2E">
        <w:t>assessed</w:t>
      </w:r>
      <w:r w:rsidR="007A2F6A">
        <w:t>,</w:t>
      </w:r>
      <w:r w:rsidRPr="00896C2E">
        <w:t xml:space="preserve"> and</w:t>
      </w:r>
      <w:proofErr w:type="gramEnd"/>
      <w:r w:rsidRPr="00896C2E">
        <w:t xml:space="preserve"> developed the Generalized Pustular Psoriasis Physician Global Assessment (GPPGA) to define how these three skin components should be assessed, namely pustulation, erythema, and scaling. GPPGA is a composite score adapted from the </w:t>
      </w:r>
      <w:r w:rsidR="007A2F6A">
        <w:t>Physician Global Assessment (</w:t>
      </w:r>
      <w:r w:rsidRPr="00896C2E">
        <w:t>PGA</w:t>
      </w:r>
      <w:r w:rsidR="007A2F6A">
        <w:t>)</w:t>
      </w:r>
      <w:r w:rsidRPr="00896C2E">
        <w:t>, which is widely accepted by health authorities as a suitable primary or co-primary endpoint for the assessment of psoriasis. The GPPGA score replaces the PGA induration component, which is absent or marginal in most cases of GPP, with pustulation.</w:t>
      </w:r>
    </w:p>
    <w:p w14:paraId="7A61C3E7" w14:textId="77777777" w:rsidR="00123E25" w:rsidRPr="00A36FBF" w:rsidRDefault="00123E25" w:rsidP="00123E25">
      <w:pPr>
        <w:rPr>
          <w:i/>
          <w:iCs/>
        </w:rPr>
      </w:pPr>
      <w:r w:rsidRPr="00A36FBF">
        <w:rPr>
          <w:i/>
          <w:iCs/>
        </w:rPr>
        <w:t>Clinical use</w:t>
      </w:r>
    </w:p>
    <w:p w14:paraId="13A55E32" w14:textId="146236BC" w:rsidR="00123E25" w:rsidRPr="00C92F2E" w:rsidRDefault="00123E25" w:rsidP="00123E25">
      <w:r w:rsidRPr="00C92F2E">
        <w:t>The GPPGA score has been successfully used in a small, open-label, Phase I proof-of-concept trial (clinicaltrials.gov identifier NCT02978690)</w:t>
      </w:r>
      <w:r w:rsidR="007A2F6A">
        <w:t xml:space="preserve"> [</w:t>
      </w:r>
      <w:proofErr w:type="spellStart"/>
      <w:r w:rsidR="007A2F6A" w:rsidRPr="00C92F2E">
        <w:t>Bachelez</w:t>
      </w:r>
      <w:proofErr w:type="spellEnd"/>
      <w:r w:rsidR="007A2F6A" w:rsidRPr="00C92F2E">
        <w:t xml:space="preserve"> H, </w:t>
      </w:r>
      <w:r w:rsidR="007A2F6A" w:rsidRPr="007E0A85">
        <w:rPr>
          <w:i/>
          <w:iCs/>
        </w:rPr>
        <w:t>et al</w:t>
      </w:r>
      <w:r w:rsidR="007A2F6A" w:rsidRPr="00C92F2E">
        <w:rPr>
          <w:i/>
          <w:iCs/>
        </w:rPr>
        <w:t xml:space="preserve">. N </w:t>
      </w:r>
      <w:proofErr w:type="spellStart"/>
      <w:r w:rsidR="007A2F6A" w:rsidRPr="00C92F2E">
        <w:rPr>
          <w:i/>
          <w:iCs/>
        </w:rPr>
        <w:t>Engl</w:t>
      </w:r>
      <w:proofErr w:type="spellEnd"/>
      <w:r w:rsidR="007A2F6A" w:rsidRPr="00C92F2E">
        <w:rPr>
          <w:i/>
          <w:iCs/>
        </w:rPr>
        <w:t xml:space="preserve"> J Med</w:t>
      </w:r>
      <w:r w:rsidR="007A2F6A" w:rsidRPr="00C92F2E">
        <w:t xml:space="preserve"> 20</w:t>
      </w:r>
      <w:r w:rsidR="007A2F6A">
        <w:t>19</w:t>
      </w:r>
      <w:r w:rsidR="007A2F6A" w:rsidRPr="00C92F2E">
        <w:t xml:space="preserve">; </w:t>
      </w:r>
      <w:r w:rsidR="007A2F6A" w:rsidRPr="007E0A85">
        <w:rPr>
          <w:b/>
          <w:bCs/>
        </w:rPr>
        <w:t>38</w:t>
      </w:r>
      <w:r w:rsidR="007A2F6A">
        <w:rPr>
          <w:b/>
          <w:bCs/>
        </w:rPr>
        <w:t>0</w:t>
      </w:r>
      <w:r w:rsidR="007A2F6A" w:rsidRPr="00C92F2E">
        <w:t>:</w:t>
      </w:r>
      <w:r w:rsidR="007A2F6A">
        <w:t>981</w:t>
      </w:r>
      <w:r w:rsidR="007A2F6A" w:rsidRPr="00C92F2E">
        <w:t>–</w:t>
      </w:r>
      <w:r w:rsidR="007A2F6A">
        <w:t>3]</w:t>
      </w:r>
      <w:r w:rsidRPr="00C92F2E">
        <w:t xml:space="preserve"> and a Phase II trial (Effisayil™ 1; clinicaltrials.gov identifier NCT03782792 [</w:t>
      </w:r>
      <w:proofErr w:type="spellStart"/>
      <w:r w:rsidRPr="00C92F2E">
        <w:t>Bachelez</w:t>
      </w:r>
      <w:proofErr w:type="spellEnd"/>
      <w:r w:rsidRPr="00C92F2E">
        <w:t xml:space="preserve"> H, </w:t>
      </w:r>
      <w:r w:rsidRPr="007E0A85">
        <w:rPr>
          <w:i/>
          <w:iCs/>
        </w:rPr>
        <w:t>et al</w:t>
      </w:r>
      <w:r w:rsidRPr="00C92F2E">
        <w:rPr>
          <w:i/>
          <w:iCs/>
        </w:rPr>
        <w:t xml:space="preserve">. N </w:t>
      </w:r>
      <w:proofErr w:type="spellStart"/>
      <w:r w:rsidRPr="00C92F2E">
        <w:rPr>
          <w:i/>
          <w:iCs/>
        </w:rPr>
        <w:t>Engl</w:t>
      </w:r>
      <w:proofErr w:type="spellEnd"/>
      <w:r w:rsidRPr="00C92F2E">
        <w:rPr>
          <w:i/>
          <w:iCs/>
        </w:rPr>
        <w:t xml:space="preserve"> J Med</w:t>
      </w:r>
      <w:r w:rsidRPr="00C92F2E">
        <w:t xml:space="preserve"> 20</w:t>
      </w:r>
      <w:r w:rsidR="008A7A60">
        <w:t>21</w:t>
      </w:r>
      <w:r w:rsidRPr="00C92F2E">
        <w:t xml:space="preserve">; </w:t>
      </w:r>
      <w:r w:rsidRPr="007E0A85">
        <w:rPr>
          <w:b/>
          <w:bCs/>
        </w:rPr>
        <w:t>38</w:t>
      </w:r>
      <w:r w:rsidR="008A7A60">
        <w:rPr>
          <w:b/>
          <w:bCs/>
        </w:rPr>
        <w:t>5</w:t>
      </w:r>
      <w:r w:rsidRPr="00C92F2E">
        <w:t>:</w:t>
      </w:r>
      <w:r w:rsidR="008A7A60">
        <w:t>2431</w:t>
      </w:r>
      <w:r w:rsidRPr="00C92F2E">
        <w:t>–</w:t>
      </w:r>
      <w:r w:rsidR="008A7A60">
        <w:t>40</w:t>
      </w:r>
      <w:r w:rsidRPr="00C92F2E">
        <w:t xml:space="preserve">]) of spesolimab, a novel anti-interleukin-36 receptor antibody currently in development for GPP. In addition, it is an endpoint in an ongoing, Phase II trial in GPP (Effisayil™ 2; clinicaltrials.gov identifier NCT04399837) and a long-term extension study in GPP (clinicaltrials.gov identifier NCT03886246), and an outcome measure in the International Rare </w:t>
      </w:r>
      <w:proofErr w:type="gramStart"/>
      <w:r w:rsidRPr="00C92F2E">
        <w:t>And</w:t>
      </w:r>
      <w:proofErr w:type="gramEnd"/>
      <w:r w:rsidRPr="00C92F2E">
        <w:t xml:space="preserve"> Severe Psoriasis Expert Network (IRASPEN) registry (clinicaltrials.gov identifier NCT04359394).</w:t>
      </w:r>
    </w:p>
    <w:p w14:paraId="4A1B5F95" w14:textId="77777777" w:rsidR="00123E25" w:rsidRPr="00C92F2E" w:rsidRDefault="00123E25" w:rsidP="00123E25">
      <w:pPr>
        <w:pStyle w:val="Heading2"/>
      </w:pPr>
      <w:r w:rsidRPr="00C92F2E">
        <w:br w:type="page"/>
      </w:r>
    </w:p>
    <w:p w14:paraId="58475762" w14:textId="77777777" w:rsidR="00123E25" w:rsidRPr="00C92F2E" w:rsidRDefault="00123E25" w:rsidP="00123E25">
      <w:pPr>
        <w:pStyle w:val="Heading1"/>
      </w:pPr>
      <w:bookmarkStart w:id="1" w:name="_Toc110258052"/>
      <w:r w:rsidRPr="00C92F2E">
        <w:lastRenderedPageBreak/>
        <w:t>What is known and what this study adds</w:t>
      </w:r>
      <w:bookmarkEnd w:id="1"/>
      <w:r w:rsidRPr="00C92F2E">
        <w:t xml:space="preserve"> </w:t>
      </w:r>
    </w:p>
    <w:p w14:paraId="43F02B7C" w14:textId="77777777" w:rsidR="00123E25" w:rsidRPr="00A36FBF" w:rsidRDefault="00123E25" w:rsidP="00123E25">
      <w:r w:rsidRPr="00A36FBF">
        <w:rPr>
          <w:i/>
          <w:iCs/>
        </w:rPr>
        <w:t>What’s already known about this topic?</w:t>
      </w:r>
    </w:p>
    <w:p w14:paraId="6FC10890" w14:textId="77777777" w:rsidR="00123E25" w:rsidRPr="00C92F2E" w:rsidRDefault="00123E25" w:rsidP="00123E25">
      <w:pPr>
        <w:pStyle w:val="ListParagraph"/>
        <w:numPr>
          <w:ilvl w:val="0"/>
          <w:numId w:val="1"/>
        </w:numPr>
      </w:pPr>
      <w:r w:rsidRPr="00C92F2E">
        <w:t xml:space="preserve">The Generalized Pustular Psoriasis Physician Global Assessment (GPPGA) was developed for dermatologists to assess the severity of generalized pustular psoriasis (GPP), owing to an absence of validated GPP-specific assessment tools. </w:t>
      </w:r>
    </w:p>
    <w:p w14:paraId="5B727851" w14:textId="17C6731B" w:rsidR="00123E25" w:rsidRPr="00C92F2E" w:rsidRDefault="00123E25" w:rsidP="00123E25">
      <w:pPr>
        <w:pStyle w:val="ListParagraph"/>
        <w:numPr>
          <w:ilvl w:val="0"/>
          <w:numId w:val="1"/>
        </w:numPr>
      </w:pPr>
      <w:r w:rsidRPr="00C92F2E">
        <w:t>It has been used successfully in two completed trials and as an endpoint in additional ongoing trials. To ensure that</w:t>
      </w:r>
      <w:r w:rsidR="007A2F6A">
        <w:t xml:space="preserve"> the</w:t>
      </w:r>
      <w:r w:rsidRPr="00C92F2E">
        <w:t xml:space="preserve"> GPPGA is a reliable and consistent measure of disease severity, validation is required.</w:t>
      </w:r>
    </w:p>
    <w:p w14:paraId="517EACF1" w14:textId="77777777" w:rsidR="00123E25" w:rsidRPr="00A36FBF" w:rsidRDefault="00123E25" w:rsidP="00123E25">
      <w:r w:rsidRPr="00A36FBF">
        <w:rPr>
          <w:i/>
          <w:iCs/>
        </w:rPr>
        <w:t>What does this study add?</w:t>
      </w:r>
    </w:p>
    <w:p w14:paraId="03BD7A83" w14:textId="77777777" w:rsidR="00123E25" w:rsidRPr="00C92F2E" w:rsidRDefault="00123E25" w:rsidP="00123E25">
      <w:pPr>
        <w:pStyle w:val="ListParagraph"/>
        <w:numPr>
          <w:ilvl w:val="0"/>
          <w:numId w:val="2"/>
        </w:numPr>
      </w:pPr>
      <w:r w:rsidRPr="00C92F2E">
        <w:t xml:space="preserve">This study demonstrates the reproducibility and reliability of GPPGA as a physician-based assessment of GPP severity. GPPGA was validated through intra-rater (consistency of scoring by the same assessor over time) and inter-rater (consistency of scoring among different assessors) reliability. </w:t>
      </w:r>
    </w:p>
    <w:p w14:paraId="1711A8B8" w14:textId="77777777" w:rsidR="00123E25" w:rsidRPr="00C92F2E" w:rsidRDefault="00123E25" w:rsidP="00123E25">
      <w:pPr>
        <w:pStyle w:val="ListParagraph"/>
        <w:numPr>
          <w:ilvl w:val="0"/>
          <w:numId w:val="2"/>
        </w:numPr>
      </w:pPr>
      <w:r w:rsidRPr="00C92F2E">
        <w:t>Dermatologists with experience in GPPGA were able to consistently score GPP severity, supporting use of GPPGA as a suitable endpoint for GPP trials and as a standard tool in clinical practice.</w:t>
      </w:r>
    </w:p>
    <w:p w14:paraId="1B824601" w14:textId="77777777" w:rsidR="00123E25" w:rsidRPr="00C92F2E" w:rsidRDefault="00123E25" w:rsidP="00123E25"/>
    <w:p w14:paraId="6FC45FD0" w14:textId="77777777" w:rsidR="00123E25" w:rsidRPr="00C92F2E" w:rsidRDefault="00123E25" w:rsidP="00123E25"/>
    <w:p w14:paraId="5B9CAB64" w14:textId="77777777" w:rsidR="00123E25" w:rsidRPr="00C92F2E" w:rsidRDefault="00123E25" w:rsidP="00123E25">
      <w:pPr>
        <w:pStyle w:val="Heading1"/>
      </w:pPr>
      <w:r w:rsidRPr="00C92F2E">
        <w:br w:type="page"/>
      </w:r>
    </w:p>
    <w:p w14:paraId="19B37704" w14:textId="13D7DFC1" w:rsidR="00096D9A" w:rsidRPr="00C92F2E" w:rsidRDefault="00096D9A" w:rsidP="00896C2E">
      <w:pPr>
        <w:pStyle w:val="Heading1"/>
      </w:pPr>
      <w:bookmarkStart w:id="2" w:name="_Toc110258053"/>
      <w:r w:rsidRPr="00C92F2E">
        <w:lastRenderedPageBreak/>
        <w:t>Plain language summary</w:t>
      </w:r>
      <w:bookmarkEnd w:id="2"/>
    </w:p>
    <w:p w14:paraId="793314EF" w14:textId="77777777" w:rsidR="00A36FBF" w:rsidRPr="00726F16" w:rsidRDefault="00A36FBF" w:rsidP="00896C2E">
      <w:pPr>
        <w:rPr>
          <w:i/>
          <w:iCs/>
        </w:rPr>
      </w:pPr>
      <w:r w:rsidRPr="00A36FBF">
        <w:rPr>
          <w:i/>
          <w:iCs/>
        </w:rPr>
        <w:t xml:space="preserve">A new method for </w:t>
      </w:r>
      <w:r w:rsidRPr="00726F16">
        <w:rPr>
          <w:i/>
          <w:iCs/>
        </w:rPr>
        <w:t xml:space="preserve">measuring the severity of generalized pustular psoriasis </w:t>
      </w:r>
    </w:p>
    <w:p w14:paraId="2F49C55D" w14:textId="26C1180E" w:rsidR="009F43D3" w:rsidRPr="00726F16" w:rsidRDefault="009F43D3" w:rsidP="00896C2E">
      <w:r w:rsidRPr="00726F16">
        <w:t xml:space="preserve">Generalized pustular psoriasis (GPP) is a rare skin disease, which means that it affects </w:t>
      </w:r>
      <w:r w:rsidR="007A2F6A" w:rsidRPr="00726F16">
        <w:t>few people in the population</w:t>
      </w:r>
      <w:r w:rsidRPr="00726F16">
        <w:t xml:space="preserve">. When a severe GPP attack (“flare”) happens, it can be life-threatening. At present, there are only a few medicines for treating flares. Testing new medicines is also difficult because there is no agreed way to measure how severe a flare is, or how well the medicine is working. </w:t>
      </w:r>
    </w:p>
    <w:p w14:paraId="3C25559B" w14:textId="77777777" w:rsidR="009F43D3" w:rsidRPr="00C92F2E" w:rsidRDefault="009F43D3" w:rsidP="00896C2E">
      <w:r w:rsidRPr="00726F16">
        <w:t>Our study tested a new score for assessing</w:t>
      </w:r>
      <w:r w:rsidRPr="00C92F2E">
        <w:t xml:space="preserve"> how severe the skin symptoms of GPP are. We took photographs of skin from patients with GPP and asked skin specialists (known as dermatologists) to give each photograph a score based on how severe they thought the disease was. We compared how similar a specialist’s scores were for the same photograph when they looked at it 10 to 14 days apart. We also compared how similar scores for the same photograph were between different specialists.</w:t>
      </w:r>
    </w:p>
    <w:p w14:paraId="14E99AAA" w14:textId="2294D980" w:rsidR="00096D9A" w:rsidRPr="00C92F2E" w:rsidRDefault="009F43D3" w:rsidP="00896C2E">
      <w:r w:rsidRPr="00C92F2E">
        <w:t xml:space="preserve">We found that </w:t>
      </w:r>
      <w:r w:rsidR="0046481C">
        <w:t>dermatologists</w:t>
      </w:r>
      <w:r w:rsidRPr="00C92F2E">
        <w:t xml:space="preserve"> gave the photographs similar scores each time they </w:t>
      </w:r>
      <w:proofErr w:type="gramStart"/>
      <w:r w:rsidRPr="00C92F2E">
        <w:t>were</w:t>
      </w:r>
      <w:proofErr w:type="gramEnd"/>
      <w:r w:rsidRPr="00C92F2E">
        <w:t xml:space="preserve"> shown them. We also found that the dermatologists scored the photographs at the same level of severity as each other. This means that the new method for scoring GPP that we tested is reliable and could be used by doctors to measure how severe GPP is. The method could also be used to investigate the magnitude of the impact of medicines on GPP.</w:t>
      </w:r>
    </w:p>
    <w:p w14:paraId="3DC57708" w14:textId="77777777" w:rsidR="00096D9A" w:rsidRPr="00C92F2E" w:rsidRDefault="00096D9A" w:rsidP="00896C2E">
      <w:pPr>
        <w:pStyle w:val="Heading1"/>
      </w:pPr>
      <w:r w:rsidRPr="00C92F2E">
        <w:br w:type="page"/>
      </w:r>
    </w:p>
    <w:p w14:paraId="01198439" w14:textId="3E8DF71B" w:rsidR="00B834A2" w:rsidRPr="00C92F2E" w:rsidRDefault="00A36FBF" w:rsidP="00896C2E">
      <w:bookmarkStart w:id="3" w:name="_Toc110258054"/>
      <w:r w:rsidRPr="00123E25">
        <w:rPr>
          <w:rStyle w:val="Heading1Char"/>
        </w:rPr>
        <w:lastRenderedPageBreak/>
        <w:t>Excerpted pages from the GPPASI and GPPGA pocket guide</w:t>
      </w:r>
      <w:bookmarkEnd w:id="3"/>
      <w:r w:rsidR="00123E25" w:rsidRPr="00123E25">
        <w:rPr>
          <w:rStyle w:val="Heading1Char"/>
        </w:rPr>
        <w:br/>
      </w:r>
      <w:r w:rsidR="00B834A2" w:rsidRPr="00C92F2E">
        <w:t xml:space="preserve">Excerpted pages from the </w:t>
      </w:r>
      <w:r w:rsidR="00B834A2" w:rsidRPr="00C92F2E">
        <w:rPr>
          <w:i/>
          <w:iCs/>
        </w:rPr>
        <w:t xml:space="preserve">Generalized Pustular Psoriasis Severity Scoring (GPPASI and GPPGA) </w:t>
      </w:r>
      <w:r w:rsidR="00B834A2" w:rsidRPr="00C92F2E">
        <w:t>pocket guide provided to</w:t>
      </w:r>
      <w:r w:rsidR="00B834A2" w:rsidRPr="00C92F2E">
        <w:rPr>
          <w:i/>
          <w:iCs/>
        </w:rPr>
        <w:t xml:space="preserve"> </w:t>
      </w:r>
      <w:r w:rsidR="00B834A2" w:rsidRPr="00C92F2E">
        <w:t>investigators of the clinical trials of spesolimab in GPP (clinicaltrials.gov identifiers NCT03782792 and NCT04399837) as well as to participants of this study.</w:t>
      </w:r>
    </w:p>
    <w:p w14:paraId="4AF22D89" w14:textId="77777777" w:rsidR="00B834A2" w:rsidRPr="00C92F2E" w:rsidRDefault="00B834A2" w:rsidP="00896C2E">
      <w:r w:rsidRPr="00C92F2E">
        <w:rPr>
          <w:noProof/>
          <w:lang w:eastAsia="en-GB"/>
        </w:rPr>
        <w:drawing>
          <wp:inline distT="0" distB="0" distL="0" distR="0" wp14:anchorId="03977156" wp14:editId="63E38F8F">
            <wp:extent cx="5731510" cy="6903069"/>
            <wp:effectExtent l="19050" t="19050" r="21590" b="1270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731510" cy="69030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C9CEC4" w14:textId="77777777" w:rsidR="00B834A2" w:rsidRPr="00C92F2E" w:rsidRDefault="00B834A2" w:rsidP="00896C2E">
      <w:r w:rsidRPr="00C92F2E">
        <w:br w:type="page"/>
      </w:r>
    </w:p>
    <w:p w14:paraId="240E0D05" w14:textId="77777777" w:rsidR="00B834A2" w:rsidRPr="00C92F2E" w:rsidRDefault="00B834A2" w:rsidP="00896C2E">
      <w:r w:rsidRPr="00C92F2E">
        <w:rPr>
          <w:noProof/>
          <w:lang w:eastAsia="en-GB"/>
        </w:rPr>
        <w:lastRenderedPageBreak/>
        <w:drawing>
          <wp:inline distT="0" distB="0" distL="0" distR="0" wp14:anchorId="2C075E4E" wp14:editId="31B9ABC1">
            <wp:extent cx="5731510" cy="6532749"/>
            <wp:effectExtent l="19050" t="19050" r="21590" b="2095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731510" cy="65327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164E29" w14:textId="77777777" w:rsidR="00B834A2" w:rsidRPr="00C92F2E" w:rsidRDefault="00B834A2" w:rsidP="00896C2E">
      <w:r w:rsidRPr="00C92F2E">
        <w:br w:type="page"/>
      </w:r>
    </w:p>
    <w:p w14:paraId="54C15076" w14:textId="77777777" w:rsidR="00B834A2" w:rsidRPr="00C92F2E" w:rsidRDefault="00B834A2" w:rsidP="00896C2E">
      <w:r w:rsidRPr="00C92F2E">
        <w:rPr>
          <w:noProof/>
          <w:lang w:eastAsia="en-GB"/>
        </w:rPr>
        <w:lastRenderedPageBreak/>
        <w:drawing>
          <wp:inline distT="0" distB="0" distL="0" distR="0" wp14:anchorId="3AFEE7A6" wp14:editId="6009B1A8">
            <wp:extent cx="5731510" cy="6505077"/>
            <wp:effectExtent l="19050" t="19050" r="21590" b="1016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731510" cy="65050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38A958" w14:textId="77777777" w:rsidR="00B834A2" w:rsidRPr="00C92F2E" w:rsidRDefault="00B834A2" w:rsidP="00896C2E">
      <w:r w:rsidRPr="00C92F2E">
        <w:br w:type="page"/>
      </w:r>
    </w:p>
    <w:p w14:paraId="73C54CB6" w14:textId="77777777" w:rsidR="00B834A2" w:rsidRPr="00C92F2E" w:rsidRDefault="00B834A2" w:rsidP="00896C2E">
      <w:r w:rsidRPr="00C92F2E">
        <w:rPr>
          <w:noProof/>
          <w:lang w:eastAsia="en-GB"/>
        </w:rPr>
        <w:lastRenderedPageBreak/>
        <w:drawing>
          <wp:inline distT="0" distB="0" distL="0" distR="0" wp14:anchorId="6EF15883" wp14:editId="3BDD9BAA">
            <wp:extent cx="5731510" cy="6475789"/>
            <wp:effectExtent l="19050" t="19050" r="21590" b="203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5731510" cy="6475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C92F2E">
        <w:br w:type="page"/>
      </w:r>
    </w:p>
    <w:p w14:paraId="77CD812D" w14:textId="24D548CE" w:rsidR="00BA43C7" w:rsidRPr="00C92F2E" w:rsidRDefault="00B834A2" w:rsidP="00896C2E">
      <w:r w:rsidRPr="00C92F2E">
        <w:rPr>
          <w:noProof/>
          <w:lang w:eastAsia="en-GB"/>
        </w:rPr>
        <w:lastRenderedPageBreak/>
        <w:drawing>
          <wp:inline distT="0" distB="0" distL="0" distR="0" wp14:anchorId="3FA9AF2F" wp14:editId="6BB28386">
            <wp:extent cx="5731510" cy="6428282"/>
            <wp:effectExtent l="19050" t="19050" r="2159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731510" cy="64282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DD075B" w14:textId="726EBAB1" w:rsidR="00096D9A" w:rsidRPr="00C92F2E" w:rsidRDefault="00CF209A" w:rsidP="00852808">
      <w:pPr>
        <w:spacing w:line="240" w:lineRule="auto"/>
      </w:pPr>
      <w:r>
        <w:t xml:space="preserve">GPP, </w:t>
      </w:r>
      <w:r w:rsidRPr="00C92F2E">
        <w:t>generalized pustular psoriasis</w:t>
      </w:r>
      <w:r>
        <w:t xml:space="preserve">; </w:t>
      </w:r>
      <w:r w:rsidR="007C2A1D" w:rsidRPr="00C92F2E">
        <w:t xml:space="preserve">GPPASI; Generalized Pustular Psoriasis Area Severity Index; </w:t>
      </w:r>
      <w:r w:rsidR="00C92F2E" w:rsidRPr="00C92F2E">
        <w:t>GPPGA, Generalized Pustular Psoriasis Physician Global Assessment.</w:t>
      </w:r>
    </w:p>
    <w:p w14:paraId="511C8386" w14:textId="77777777" w:rsidR="00096D9A" w:rsidRPr="00C92F2E" w:rsidRDefault="00096D9A" w:rsidP="00896C2E">
      <w:pPr>
        <w:pStyle w:val="Heading1"/>
      </w:pPr>
      <w:r w:rsidRPr="00C92F2E">
        <w:br w:type="page"/>
      </w:r>
    </w:p>
    <w:p w14:paraId="3F08AAB1" w14:textId="70D5B20D" w:rsidR="00096D9A" w:rsidRPr="00C92F2E" w:rsidRDefault="00096D9A" w:rsidP="00896C2E">
      <w:pPr>
        <w:pStyle w:val="Heading1"/>
      </w:pPr>
      <w:bookmarkStart w:id="4" w:name="_Toc110258055"/>
      <w:r w:rsidRPr="00C92F2E">
        <w:lastRenderedPageBreak/>
        <w:t>Patient images and online portal</w:t>
      </w:r>
      <w:bookmarkEnd w:id="4"/>
      <w:r w:rsidRPr="00C92F2E">
        <w:t xml:space="preserve"> </w:t>
      </w:r>
    </w:p>
    <w:p w14:paraId="4F0A3092" w14:textId="77777777" w:rsidR="00A36FBF" w:rsidRPr="00A36FBF" w:rsidRDefault="00A36FBF" w:rsidP="00896C2E">
      <w:pPr>
        <w:rPr>
          <w:i/>
          <w:iCs/>
        </w:rPr>
      </w:pPr>
      <w:r w:rsidRPr="00A36FBF">
        <w:rPr>
          <w:i/>
          <w:iCs/>
        </w:rPr>
        <w:t>Patient images</w:t>
      </w:r>
    </w:p>
    <w:p w14:paraId="63489EAD" w14:textId="42A946C7" w:rsidR="00982FF3" w:rsidRPr="00C92F2E" w:rsidRDefault="00982FF3" w:rsidP="00896C2E">
      <w:r w:rsidRPr="00C92F2E">
        <w:t xml:space="preserve">Photographs were taken using 1st or 2nd generation </w:t>
      </w:r>
      <w:r w:rsidRPr="00726F16">
        <w:t xml:space="preserve">models of the 2D DermaViz, according to settings and instructions provided by </w:t>
      </w:r>
      <w:proofErr w:type="spellStart"/>
      <w:r w:rsidRPr="00726F16">
        <w:t>QuantifiCare</w:t>
      </w:r>
      <w:proofErr w:type="spellEnd"/>
      <w:r w:rsidR="007F1782" w:rsidRPr="00726F16">
        <w:t xml:space="preserve"> (</w:t>
      </w:r>
      <w:proofErr w:type="spellStart"/>
      <w:r w:rsidR="007F1782" w:rsidRPr="00726F16">
        <w:t>Biot</w:t>
      </w:r>
      <w:proofErr w:type="spellEnd"/>
      <w:r w:rsidR="007F1782" w:rsidRPr="00726F16">
        <w:t>, France)</w:t>
      </w:r>
      <w:r w:rsidRPr="00726F16">
        <w:t>. Settings for the D5100 Nikon camera (1st generation model) were ISO 400, aperture F20, shutter speed</w:t>
      </w:r>
      <w:r w:rsidRPr="00C92F2E">
        <w:t xml:space="preserve"> 1/200 and manual focus; settings for the D5600 Nikon camera (2nd generation model) were ISO 125, shutter speed 1/200 and manual focus. Photographs of subjects were taken in a standing position, against a blue background, at a distance determined by dual LED beam pointers and with the camera held perpendicular to the area being photographed. Images were uploaded to QuantifiCare’s central server and image quality verified with respect to framing, focus and photo classification. Two expert dermatologists with clinical experience of assessing and treating </w:t>
      </w:r>
      <w:r w:rsidR="00AC680C" w:rsidRPr="00C92F2E">
        <w:t xml:space="preserve">generalized pustular psoriasis </w:t>
      </w:r>
      <w:r w:rsidR="00AC680C">
        <w:t>(</w:t>
      </w:r>
      <w:r w:rsidRPr="00C92F2E">
        <w:t>GPP</w:t>
      </w:r>
      <w:r w:rsidR="00AC680C">
        <w:t>)</w:t>
      </w:r>
      <w:r w:rsidRPr="00C92F2E">
        <w:t xml:space="preserve"> shortlisted 75 photographs from a total of 120 images selected to represent different disease severity. Two other expert dermatologists independently reviewed the shortlist. From the shortlist, 16 images from 14 patients were selected, reflecting a full spectrum of disease severity levels for all skin disease components, for use in an online assessment </w:t>
      </w:r>
      <w:r w:rsidR="00145584" w:rsidRPr="00C92F2E">
        <w:t>(</w:t>
      </w:r>
      <w:r w:rsidR="00145584" w:rsidRPr="00C92F2E">
        <w:rPr>
          <w:b/>
          <w:bCs/>
        </w:rPr>
        <w:t>Figure</w:t>
      </w:r>
      <w:r w:rsidR="00145584" w:rsidRPr="00C92F2E">
        <w:t>).</w:t>
      </w:r>
    </w:p>
    <w:p w14:paraId="3C85AC20" w14:textId="0EF298A6" w:rsidR="00405BC8" w:rsidRPr="00C92F2E" w:rsidRDefault="00145584" w:rsidP="00896C2E">
      <w:r w:rsidRPr="00AC680C">
        <w:rPr>
          <w:b/>
          <w:bCs/>
        </w:rPr>
        <w:t xml:space="preserve">Figure: </w:t>
      </w:r>
      <w:r w:rsidR="00405BC8" w:rsidRPr="00C92F2E">
        <w:t xml:space="preserve">Images used for </w:t>
      </w:r>
      <w:r w:rsidR="00605B52" w:rsidRPr="00C92F2E">
        <w:t>assessment</w:t>
      </w:r>
      <w:r w:rsidR="00405BC8" w:rsidRPr="00C92F2E">
        <w:t xml:space="preserve"> on the online portal. The 16 images were from 14 patients enrolled on the Effisayil™ 1 trial</w:t>
      </w:r>
      <w:r w:rsidR="008A7A60">
        <w:t xml:space="preserve"> (</w:t>
      </w:r>
      <w:proofErr w:type="spellStart"/>
      <w:r w:rsidR="008A7A60" w:rsidRPr="00C92F2E">
        <w:t>Bachelez</w:t>
      </w:r>
      <w:proofErr w:type="spellEnd"/>
      <w:r w:rsidR="008A7A60" w:rsidRPr="00C92F2E">
        <w:t xml:space="preserve"> H, </w:t>
      </w:r>
      <w:r w:rsidR="008A7A60" w:rsidRPr="007E0A85">
        <w:rPr>
          <w:i/>
          <w:iCs/>
        </w:rPr>
        <w:t>et al</w:t>
      </w:r>
      <w:r w:rsidR="008A7A60" w:rsidRPr="00C92F2E">
        <w:rPr>
          <w:i/>
          <w:iCs/>
        </w:rPr>
        <w:t xml:space="preserve">. N </w:t>
      </w:r>
      <w:proofErr w:type="spellStart"/>
      <w:r w:rsidR="008A7A60" w:rsidRPr="00C92F2E">
        <w:rPr>
          <w:i/>
          <w:iCs/>
        </w:rPr>
        <w:t>Engl</w:t>
      </w:r>
      <w:proofErr w:type="spellEnd"/>
      <w:r w:rsidR="008A7A60" w:rsidRPr="00C92F2E">
        <w:rPr>
          <w:i/>
          <w:iCs/>
        </w:rPr>
        <w:t xml:space="preserve"> J Med</w:t>
      </w:r>
      <w:r w:rsidR="008A7A60" w:rsidRPr="00C92F2E">
        <w:t xml:space="preserve"> 20</w:t>
      </w:r>
      <w:r w:rsidR="008A7A60">
        <w:t>21</w:t>
      </w:r>
      <w:r w:rsidR="008A7A60" w:rsidRPr="00C92F2E">
        <w:t xml:space="preserve">; </w:t>
      </w:r>
      <w:r w:rsidR="008A7A60" w:rsidRPr="007E0A85">
        <w:rPr>
          <w:b/>
          <w:bCs/>
        </w:rPr>
        <w:t>38</w:t>
      </w:r>
      <w:r w:rsidR="008A7A60">
        <w:rPr>
          <w:b/>
          <w:bCs/>
        </w:rPr>
        <w:t>5</w:t>
      </w:r>
      <w:r w:rsidR="008A7A60" w:rsidRPr="00C92F2E">
        <w:t>:</w:t>
      </w:r>
      <w:r w:rsidR="008A7A60">
        <w:t>2431</w:t>
      </w:r>
      <w:r w:rsidR="008A7A60" w:rsidRPr="00C92F2E">
        <w:t>–</w:t>
      </w:r>
      <w:r w:rsidR="008A7A60">
        <w:t>40)</w:t>
      </w:r>
      <w:r w:rsidR="00405BC8" w:rsidRPr="00C92F2E">
        <w:t>.</w:t>
      </w:r>
      <w:r w:rsidR="00CC3B3D" w:rsidRPr="00C92F2E">
        <w:t xml:space="preserve"> </w:t>
      </w:r>
      <w:r w:rsidR="00405BC8" w:rsidRPr="00C92F2E">
        <w:t>The portal enabled zooming and panning of the images to facilitate detailed on-screen examination</w:t>
      </w:r>
      <w:r w:rsidR="00CC3B3D" w:rsidRPr="00C92F2E">
        <w:t>.</w:t>
      </w:r>
    </w:p>
    <w:p w14:paraId="3B701409" w14:textId="531B18F5" w:rsidR="00096D9A" w:rsidRPr="00C92F2E" w:rsidRDefault="00605B52" w:rsidP="00896C2E">
      <w:r w:rsidRPr="00C92F2E">
        <w:rPr>
          <w:noProof/>
        </w:rPr>
        <w:drawing>
          <wp:inline distT="0" distB="0" distL="0" distR="0" wp14:anchorId="51995AAD" wp14:editId="0338795D">
            <wp:extent cx="5391150" cy="3144738"/>
            <wp:effectExtent l="0" t="0" r="0" b="0"/>
            <wp:docPr id="3" name="Picture 3" descr="A collage of a person's le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person's legs&#10;&#10;Description automatically generated with low confidence"/>
                    <pic:cNvPicPr/>
                  </pic:nvPicPr>
                  <pic:blipFill>
                    <a:blip r:embed="rId16"/>
                    <a:stretch>
                      <a:fillRect/>
                    </a:stretch>
                  </pic:blipFill>
                  <pic:spPr>
                    <a:xfrm>
                      <a:off x="0" y="0"/>
                      <a:ext cx="5398327" cy="3148924"/>
                    </a:xfrm>
                    <a:prstGeom prst="rect">
                      <a:avLst/>
                    </a:prstGeom>
                  </pic:spPr>
                </pic:pic>
              </a:graphicData>
            </a:graphic>
          </wp:inline>
        </w:drawing>
      </w:r>
    </w:p>
    <w:p w14:paraId="04C7D7E3" w14:textId="77777777" w:rsidR="00A36FBF" w:rsidRDefault="00A36FBF" w:rsidP="00896C2E">
      <w:pPr>
        <w:rPr>
          <w:i/>
          <w:iCs/>
        </w:rPr>
      </w:pPr>
    </w:p>
    <w:p w14:paraId="38F4E46B" w14:textId="4E6E9E9D" w:rsidR="00A36FBF" w:rsidRPr="00A36FBF" w:rsidRDefault="00A36FBF" w:rsidP="00E74272">
      <w:pPr>
        <w:keepNext/>
        <w:keepLines/>
        <w:rPr>
          <w:i/>
          <w:iCs/>
        </w:rPr>
      </w:pPr>
      <w:r w:rsidRPr="00A36FBF">
        <w:rPr>
          <w:i/>
          <w:iCs/>
        </w:rPr>
        <w:lastRenderedPageBreak/>
        <w:t>Online portal</w:t>
      </w:r>
    </w:p>
    <w:p w14:paraId="3A03FA6D" w14:textId="1558700A" w:rsidR="00AC680C" w:rsidRDefault="00145584" w:rsidP="00E74272">
      <w:pPr>
        <w:keepNext/>
        <w:keepLines/>
      </w:pPr>
      <w:r w:rsidRPr="00C92F2E">
        <w:t>The 16 images were presented in high resolution on an online portal developed by Trifecta Clinical (Indianapolis, USA), which included the ability to zoom and pan within the images</w:t>
      </w:r>
      <w:r w:rsidR="001C0F9A" w:rsidRPr="001C0F9A">
        <w:t xml:space="preserve"> </w:t>
      </w:r>
      <w:r w:rsidR="001C0F9A" w:rsidRPr="00C92F2E">
        <w:t>to facilitate detailed on-screen examination</w:t>
      </w:r>
      <w:r w:rsidRPr="00C92F2E">
        <w:t xml:space="preserve">. </w:t>
      </w:r>
      <w:r w:rsidR="00E74272">
        <w:t xml:space="preserve">Twenty-six </w:t>
      </w:r>
      <w:r w:rsidR="00E74272" w:rsidRPr="00E74272">
        <w:t xml:space="preserve">GPP-experienced dermatologists </w:t>
      </w:r>
      <w:r w:rsidR="001C0F9A" w:rsidRPr="00C92F2E">
        <w:t>were recruited to independently assess and score the 16 images</w:t>
      </w:r>
      <w:r w:rsidR="001C0F9A">
        <w:t xml:space="preserve"> via the</w:t>
      </w:r>
      <w:r w:rsidR="00E74272" w:rsidRPr="00E74272">
        <w:t xml:space="preserve"> online </w:t>
      </w:r>
      <w:r w:rsidR="001C0F9A">
        <w:t>portal</w:t>
      </w:r>
      <w:r w:rsidR="00E74272">
        <w:t>.</w:t>
      </w:r>
      <w:r w:rsidR="00E74272" w:rsidRPr="00E74272">
        <w:t xml:space="preserve"> </w:t>
      </w:r>
      <w:r w:rsidR="00E218DE" w:rsidRPr="00C92F2E">
        <w:t xml:space="preserve">Participants were required to score each of the three components </w:t>
      </w:r>
      <w:r w:rsidR="001C0F9A" w:rsidRPr="00C92F2E">
        <w:t xml:space="preserve">of the </w:t>
      </w:r>
      <w:r w:rsidR="001C0F9A" w:rsidRPr="006F6A38">
        <w:rPr>
          <w:rFonts w:eastAsia="Times New Roman"/>
        </w:rPr>
        <w:t>Generalized Pustular Psoriasis Physician Global Assessment (GPPGA</w:t>
      </w:r>
      <w:r w:rsidR="001C0F9A">
        <w:rPr>
          <w:rFonts w:eastAsia="Times New Roman"/>
        </w:rPr>
        <w:t>)</w:t>
      </w:r>
      <w:r w:rsidR="001C0F9A" w:rsidRPr="00C92F2E">
        <w:t xml:space="preserve"> score </w:t>
      </w:r>
      <w:r w:rsidR="00E218DE" w:rsidRPr="00C92F2E">
        <w:t>(erythema, scaling and pustulation) individually, according to the instructions provided within the online portal.</w:t>
      </w:r>
      <w:r w:rsidR="001F1150" w:rsidRPr="00C92F2E">
        <w:t xml:space="preserve"> </w:t>
      </w:r>
    </w:p>
    <w:p w14:paraId="52EF4DC2" w14:textId="0B50E8E9" w:rsidR="00096D9A" w:rsidRPr="00C92F2E" w:rsidRDefault="00096D9A" w:rsidP="00896C2E">
      <w:r w:rsidRPr="00C92F2E">
        <w:br w:type="page"/>
      </w:r>
    </w:p>
    <w:p w14:paraId="0AF2451D" w14:textId="47746A12" w:rsidR="00096D9A" w:rsidRPr="00C92F2E" w:rsidRDefault="00096D9A" w:rsidP="00896C2E">
      <w:pPr>
        <w:pStyle w:val="Heading1"/>
      </w:pPr>
      <w:bookmarkStart w:id="5" w:name="_Toc110258056"/>
      <w:r w:rsidRPr="00C92F2E">
        <w:lastRenderedPageBreak/>
        <w:t xml:space="preserve">Intra- and inter-rater </w:t>
      </w:r>
      <w:r w:rsidR="00123E25">
        <w:t xml:space="preserve">statistical </w:t>
      </w:r>
      <w:r w:rsidRPr="00C92F2E">
        <w:t>analyses</w:t>
      </w:r>
      <w:bookmarkEnd w:id="5"/>
      <w:r w:rsidRPr="00C92F2E">
        <w:t xml:space="preserve"> </w:t>
      </w:r>
    </w:p>
    <w:p w14:paraId="42BB5E70" w14:textId="77777777" w:rsidR="00A36FBF" w:rsidRPr="00A36FBF" w:rsidRDefault="00A36FBF" w:rsidP="00896C2E">
      <w:pPr>
        <w:rPr>
          <w:i/>
          <w:iCs/>
        </w:rPr>
      </w:pPr>
      <w:r w:rsidRPr="00A36FBF">
        <w:rPr>
          <w:i/>
          <w:iCs/>
        </w:rPr>
        <w:t xml:space="preserve">Intra-rater analyses </w:t>
      </w:r>
    </w:p>
    <w:p w14:paraId="06962208" w14:textId="1510DB57" w:rsidR="00263C19" w:rsidRPr="00C92F2E" w:rsidRDefault="00263C19" w:rsidP="00896C2E">
      <w:r w:rsidRPr="00C92F2E">
        <w:t xml:space="preserve">Intra-rater analyses were performed using the </w:t>
      </w:r>
      <w:r w:rsidR="00681299" w:rsidRPr="006F6A38">
        <w:rPr>
          <w:rFonts w:eastAsia="Times New Roman"/>
        </w:rPr>
        <w:t>Generalized Pustular Psoriasis Physician Global Assessment (GPPGA</w:t>
      </w:r>
      <w:r w:rsidR="00681299">
        <w:rPr>
          <w:rFonts w:eastAsia="Times New Roman"/>
        </w:rPr>
        <w:t>)</w:t>
      </w:r>
      <w:r w:rsidR="00681299" w:rsidRPr="00C92F2E">
        <w:t xml:space="preserve"> </w:t>
      </w:r>
      <w:r w:rsidRPr="00C92F2E">
        <w:t xml:space="preserve">total score and component subscores from the same rater across two time points to assess the reliability. Calculation of the </w:t>
      </w:r>
      <w:r w:rsidR="00E73EB1" w:rsidRPr="002E25D4">
        <w:t xml:space="preserve">intra-class correlation coefficient (ICC) </w:t>
      </w:r>
      <w:r w:rsidRPr="00C92F2E">
        <w:t>for intra-rater analyses was estimated using a two-way mixed-effects analysis of variance (ANOVA) model for absolute agreement ICC (2,1)</w:t>
      </w:r>
      <w:r w:rsidR="004276B6" w:rsidRPr="00C92F2E">
        <w:t xml:space="preserve"> (</w:t>
      </w:r>
      <w:r w:rsidR="00C67268" w:rsidRPr="00C92F2E">
        <w:t xml:space="preserve">Koo TK, Li MY. </w:t>
      </w:r>
      <w:r w:rsidR="004276B6" w:rsidRPr="00C92F2E">
        <w:rPr>
          <w:i/>
          <w:iCs/>
        </w:rPr>
        <w:t xml:space="preserve">J </w:t>
      </w:r>
      <w:proofErr w:type="spellStart"/>
      <w:r w:rsidR="004276B6" w:rsidRPr="00C92F2E">
        <w:rPr>
          <w:i/>
          <w:iCs/>
        </w:rPr>
        <w:t>Chiropr</w:t>
      </w:r>
      <w:proofErr w:type="spellEnd"/>
      <w:r w:rsidR="004276B6" w:rsidRPr="00C92F2E">
        <w:rPr>
          <w:i/>
          <w:iCs/>
        </w:rPr>
        <w:t xml:space="preserve"> Med</w:t>
      </w:r>
      <w:r w:rsidR="004276B6" w:rsidRPr="00C92F2E">
        <w:t xml:space="preserve"> 2016; </w:t>
      </w:r>
      <w:r w:rsidR="004276B6" w:rsidRPr="00E73EB1">
        <w:rPr>
          <w:b/>
          <w:bCs/>
        </w:rPr>
        <w:t>15</w:t>
      </w:r>
      <w:r w:rsidR="004276B6" w:rsidRPr="00C92F2E">
        <w:t>:155–63).</w:t>
      </w:r>
      <w:r w:rsidRPr="00C92F2E">
        <w:t xml:space="preserve"> This model considers the effect of repeated measurements from the same rater. The ICC was calculated as:</w:t>
      </w:r>
    </w:p>
    <w:p w14:paraId="48A43598" w14:textId="77777777" w:rsidR="00263C19" w:rsidRPr="00C92F2E" w:rsidRDefault="00263C19" w:rsidP="00896C2E">
      <w:pPr>
        <w:pStyle w:val="ListParagraph"/>
        <w:rPr>
          <w:rFonts w:eastAsia="Times New Roman"/>
        </w:rPr>
      </w:pPr>
      <m:oMathPara>
        <m:oMath>
          <m:r>
            <w:rPr>
              <w:rFonts w:ascii="Cambria Math" w:hAnsi="Cambria Math"/>
            </w:rPr>
            <m:t>ICC</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MS</m:t>
                  </m:r>
                </m:e>
                <m:sub>
                  <m:r>
                    <w:rPr>
                      <w:rFonts w:ascii="Cambria Math" w:hAnsi="Cambria Math"/>
                    </w:rPr>
                    <m:t>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MS</m:t>
                  </m:r>
                </m:e>
                <m:sub>
                  <m:r>
                    <w:rPr>
                      <w:rFonts w:ascii="Cambria Math" w:hAnsi="Cambria Math"/>
                    </w:rPr>
                    <m:t>E</m:t>
                  </m:r>
                </m:sub>
              </m:sSub>
            </m:num>
            <m:den>
              <m:sSub>
                <m:sSubPr>
                  <m:ctrlPr>
                    <w:rPr>
                      <w:rFonts w:ascii="Cambria Math" w:hAnsi="Cambria Math"/>
                    </w:rPr>
                  </m:ctrlPr>
                </m:sSubPr>
                <m:e>
                  <m:r>
                    <w:rPr>
                      <w:rFonts w:ascii="Cambria Math" w:hAnsi="Cambria Math"/>
                    </w:rPr>
                    <m:t>MS</m:t>
                  </m:r>
                </m:e>
                <m:sub>
                  <m:r>
                    <w:rPr>
                      <w:rFonts w:ascii="Cambria Math" w:hAnsi="Cambria Math"/>
                    </w:rPr>
                    <m:t>R</m:t>
                  </m:r>
                </m:sub>
              </m:sSub>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-1</m:t>
                  </m:r>
                </m:e>
              </m:d>
              <m:sSub>
                <m:sSubPr>
                  <m:ctrlPr>
                    <w:rPr>
                      <w:rFonts w:ascii="Cambria Math" w:hAnsi="Cambria Math"/>
                    </w:rPr>
                  </m:ctrlPr>
                </m:sSubPr>
                <m:e>
                  <m:r>
                    <w:rPr>
                      <w:rFonts w:ascii="Cambria Math" w:hAnsi="Cambria Math"/>
                    </w:rPr>
                    <m:t>MS</m:t>
                  </m:r>
                </m:e>
                <m:sub>
                  <m:r>
                    <w:rPr>
                      <w:rFonts w:ascii="Cambria Math" w:hAnsi="Cambria Math"/>
                    </w:rPr>
                    <m:t>E</m:t>
                  </m:r>
                </m:sub>
              </m:sSub>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n</m:t>
                  </m:r>
                </m:den>
              </m:f>
              <m:r>
                <m:rPr>
                  <m:sty m:val="p"/>
                </m:rPr>
                <w:rPr>
                  <w:rFonts w:ascii="Cambria Math" w:hAnsi="Cambria Math"/>
                </w:rPr>
                <m:t>(</m:t>
              </m:r>
              <m:sSub>
                <m:sSubPr>
                  <m:ctrlPr>
                    <w:rPr>
                      <w:rFonts w:ascii="Cambria Math" w:hAnsi="Cambria Math"/>
                    </w:rPr>
                  </m:ctrlPr>
                </m:sSubPr>
                <m:e>
                  <m:r>
                    <w:rPr>
                      <w:rFonts w:ascii="Cambria Math" w:hAnsi="Cambria Math"/>
                    </w:rPr>
                    <m:t>MS</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MS</m:t>
                  </m:r>
                </m:e>
                <m:sub>
                  <m:r>
                    <w:rPr>
                      <w:rFonts w:ascii="Cambria Math" w:hAnsi="Cambria Math"/>
                    </w:rPr>
                    <m:t>E</m:t>
                  </m:r>
                </m:sub>
              </m:sSub>
              <m:r>
                <m:rPr>
                  <m:sty m:val="p"/>
                </m:rPr>
                <w:rPr>
                  <w:rFonts w:ascii="Cambria Math" w:hAnsi="Cambria Math"/>
                </w:rPr>
                <m:t>)</m:t>
              </m:r>
            </m:den>
          </m:f>
        </m:oMath>
      </m:oMathPara>
    </w:p>
    <w:p w14:paraId="5EA8D3E5" w14:textId="77777777" w:rsidR="00263C19" w:rsidRPr="00C92F2E" w:rsidRDefault="00263C19" w:rsidP="00852808">
      <w:pPr>
        <w:pStyle w:val="ListParagraph"/>
        <w:spacing w:line="240" w:lineRule="auto"/>
      </w:pPr>
      <w:r w:rsidRPr="00C92F2E">
        <w:t>MS</w:t>
      </w:r>
      <w:r w:rsidRPr="00C92F2E">
        <w:rPr>
          <w:vertAlign w:val="subscript"/>
        </w:rPr>
        <w:t>R</w:t>
      </w:r>
      <w:r w:rsidRPr="00C92F2E">
        <w:t>, mean square for images (or rows); MS</w:t>
      </w:r>
      <w:r w:rsidRPr="00C92F2E">
        <w:rPr>
          <w:vertAlign w:val="subscript"/>
        </w:rPr>
        <w:t>E</w:t>
      </w:r>
      <w:r w:rsidRPr="00C92F2E">
        <w:t>, mean square for error; MS</w:t>
      </w:r>
      <w:r w:rsidRPr="00C92F2E">
        <w:rPr>
          <w:vertAlign w:val="subscript"/>
        </w:rPr>
        <w:t>C</w:t>
      </w:r>
      <w:r w:rsidRPr="00C92F2E">
        <w:t>, mean square for repeated measurements within a core rater (two time points); n, number of images; r, number of repeated measurements</w:t>
      </w:r>
    </w:p>
    <w:p w14:paraId="37D1D12F" w14:textId="77777777" w:rsidR="00852808" w:rsidRDefault="00852808" w:rsidP="00896C2E">
      <w:pPr>
        <w:pStyle w:val="Heading2"/>
      </w:pPr>
    </w:p>
    <w:p w14:paraId="7465EA4A" w14:textId="1DB8C187" w:rsidR="00A36FBF" w:rsidRPr="00A36FBF" w:rsidRDefault="00A36FBF" w:rsidP="00A36FBF">
      <w:pPr>
        <w:rPr>
          <w:i/>
          <w:iCs/>
        </w:rPr>
      </w:pPr>
      <w:r w:rsidRPr="00A36FBF">
        <w:rPr>
          <w:i/>
          <w:iCs/>
        </w:rPr>
        <w:t>Int</w:t>
      </w:r>
      <w:r>
        <w:rPr>
          <w:i/>
          <w:iCs/>
        </w:rPr>
        <w:t>er</w:t>
      </w:r>
      <w:r w:rsidRPr="00A36FBF">
        <w:rPr>
          <w:i/>
          <w:iCs/>
        </w:rPr>
        <w:t xml:space="preserve">-rater </w:t>
      </w:r>
      <w:r>
        <w:rPr>
          <w:i/>
          <w:iCs/>
        </w:rPr>
        <w:t>analyses</w:t>
      </w:r>
      <w:r w:rsidRPr="00A36FBF">
        <w:rPr>
          <w:i/>
          <w:iCs/>
        </w:rPr>
        <w:t xml:space="preserve"> </w:t>
      </w:r>
    </w:p>
    <w:p w14:paraId="463C5F8B" w14:textId="77777777" w:rsidR="003425FB" w:rsidRPr="00C92F2E" w:rsidRDefault="003425FB" w:rsidP="00896C2E">
      <w:r w:rsidRPr="00C92F2E">
        <w:t>For inter-rater reliability of GPPGA, ICCs were provided with corresponding 95% confidence internals (CIs). All raters scored all images for each component at the same single time point: the two-way random-effects model for single measurement ICC (2,1) was used for the analysis. ICC for absolute agreement was calculated.</w:t>
      </w:r>
    </w:p>
    <w:p w14:paraId="152A21D4" w14:textId="77777777" w:rsidR="003425FB" w:rsidRPr="00C92F2E" w:rsidRDefault="003425FB" w:rsidP="00896C2E">
      <w:pPr>
        <w:pStyle w:val="ListParagraph"/>
      </w:pPr>
      <m:oMathPara>
        <m:oMath>
          <m:r>
            <w:rPr>
              <w:rFonts w:ascii="Cambria Math" w:hAnsi="Cambria Math"/>
              <w:lang w:eastAsia="ja-JP"/>
            </w:rPr>
            <m:t>ICC</m:t>
          </m:r>
          <m:r>
            <m:rPr>
              <m:sty m:val="p"/>
            </m:rPr>
            <w:rPr>
              <w:rFonts w:ascii="Cambria Math" w:hAnsi="Cambria Math"/>
              <w:lang w:eastAsia="ja-JP"/>
            </w:rPr>
            <m:t>=</m:t>
          </m:r>
          <m:f>
            <m:fPr>
              <m:ctrlPr>
                <w:rPr>
                  <w:rFonts w:ascii="Cambria Math" w:hAnsi="Cambria Math"/>
                  <w:lang w:eastAsia="ja-JP"/>
                </w:rPr>
              </m:ctrlPr>
            </m:fPr>
            <m:num>
              <m:r>
                <w:rPr>
                  <w:rFonts w:ascii="Cambria Math" w:hAnsi="Cambria Math"/>
                  <w:lang w:eastAsia="ja-JP"/>
                </w:rPr>
                <m:t>M</m:t>
              </m:r>
              <m:sSub>
                <m:sSubPr>
                  <m:ctrlPr>
                    <w:rPr>
                      <w:rFonts w:ascii="Cambria Math" w:hAnsi="Cambria Math"/>
                      <w:lang w:eastAsia="ja-JP"/>
                    </w:rPr>
                  </m:ctrlPr>
                </m:sSubPr>
                <m:e>
                  <m:r>
                    <w:rPr>
                      <w:rFonts w:ascii="Cambria Math" w:hAnsi="Cambria Math"/>
                      <w:lang w:eastAsia="ja-JP"/>
                    </w:rPr>
                    <m:t>S</m:t>
                  </m:r>
                </m:e>
                <m:sub>
                  <m:r>
                    <w:rPr>
                      <w:rFonts w:ascii="Cambria Math" w:hAnsi="Cambria Math"/>
                      <w:lang w:eastAsia="ja-JP"/>
                    </w:rPr>
                    <m:t>R</m:t>
                  </m:r>
                </m:sub>
              </m:sSub>
              <m:r>
                <m:rPr>
                  <m:sty m:val="p"/>
                </m:rPr>
                <w:rPr>
                  <w:rFonts w:ascii="Cambria Math" w:hAnsi="Cambria Math"/>
                  <w:lang w:eastAsia="ja-JP"/>
                </w:rPr>
                <m:t>-</m:t>
              </m:r>
              <m:r>
                <w:rPr>
                  <w:rFonts w:ascii="Cambria Math" w:hAnsi="Cambria Math"/>
                  <w:lang w:eastAsia="ja-JP"/>
                </w:rPr>
                <m:t>M</m:t>
              </m:r>
              <m:sSub>
                <m:sSubPr>
                  <m:ctrlPr>
                    <w:rPr>
                      <w:rFonts w:ascii="Cambria Math" w:hAnsi="Cambria Math"/>
                      <w:lang w:eastAsia="ja-JP"/>
                    </w:rPr>
                  </m:ctrlPr>
                </m:sSubPr>
                <m:e>
                  <m:r>
                    <w:rPr>
                      <w:rFonts w:ascii="Cambria Math" w:hAnsi="Cambria Math"/>
                      <w:lang w:eastAsia="ja-JP"/>
                    </w:rPr>
                    <m:t>S</m:t>
                  </m:r>
                </m:e>
                <m:sub>
                  <m:r>
                    <w:rPr>
                      <w:rFonts w:ascii="Cambria Math" w:hAnsi="Cambria Math"/>
                      <w:lang w:eastAsia="ja-JP"/>
                    </w:rPr>
                    <m:t>E</m:t>
                  </m:r>
                </m:sub>
              </m:sSub>
            </m:num>
            <m:den>
              <m:r>
                <w:rPr>
                  <w:rFonts w:ascii="Cambria Math" w:hAnsi="Cambria Math"/>
                  <w:lang w:eastAsia="ja-JP"/>
                </w:rPr>
                <m:t>M</m:t>
              </m:r>
              <m:sSub>
                <m:sSubPr>
                  <m:ctrlPr>
                    <w:rPr>
                      <w:rFonts w:ascii="Cambria Math" w:hAnsi="Cambria Math"/>
                      <w:lang w:eastAsia="ja-JP"/>
                    </w:rPr>
                  </m:ctrlPr>
                </m:sSubPr>
                <m:e>
                  <m:r>
                    <w:rPr>
                      <w:rFonts w:ascii="Cambria Math" w:hAnsi="Cambria Math"/>
                      <w:lang w:eastAsia="ja-JP"/>
                    </w:rPr>
                    <m:t>S</m:t>
                  </m:r>
                </m:e>
                <m:sub>
                  <m:r>
                    <w:rPr>
                      <w:rFonts w:ascii="Cambria Math" w:hAnsi="Cambria Math"/>
                      <w:lang w:eastAsia="ja-JP"/>
                    </w:rPr>
                    <m:t>R</m:t>
                  </m:r>
                </m:sub>
              </m:sSub>
              <m:r>
                <m:rPr>
                  <m:sty m:val="p"/>
                </m:rPr>
                <w:rPr>
                  <w:rFonts w:ascii="Cambria Math" w:hAnsi="Cambria Math"/>
                  <w:lang w:eastAsia="ja-JP"/>
                </w:rPr>
                <m:t>+</m:t>
              </m:r>
              <m:d>
                <m:dPr>
                  <m:ctrlPr>
                    <w:rPr>
                      <w:rFonts w:ascii="Cambria Math" w:hAnsi="Cambria Math"/>
                      <w:lang w:eastAsia="ja-JP"/>
                    </w:rPr>
                  </m:ctrlPr>
                </m:dPr>
                <m:e>
                  <m:r>
                    <w:rPr>
                      <w:rFonts w:ascii="Cambria Math" w:hAnsi="Cambria Math"/>
                      <w:lang w:eastAsia="ja-JP"/>
                    </w:rPr>
                    <m:t>k</m:t>
                  </m:r>
                  <m:r>
                    <m:rPr>
                      <m:sty m:val="p"/>
                    </m:rPr>
                    <w:rPr>
                      <w:rFonts w:ascii="Cambria Math" w:hAnsi="Cambria Math"/>
                      <w:lang w:eastAsia="ja-JP"/>
                    </w:rPr>
                    <m:t>-1</m:t>
                  </m:r>
                </m:e>
              </m:d>
              <m:r>
                <w:rPr>
                  <w:rFonts w:ascii="Cambria Math" w:hAnsi="Cambria Math"/>
                  <w:lang w:eastAsia="ja-JP"/>
                </w:rPr>
                <m:t>M</m:t>
              </m:r>
              <m:sSub>
                <m:sSubPr>
                  <m:ctrlPr>
                    <w:rPr>
                      <w:rFonts w:ascii="Cambria Math" w:hAnsi="Cambria Math"/>
                      <w:lang w:eastAsia="ja-JP"/>
                    </w:rPr>
                  </m:ctrlPr>
                </m:sSubPr>
                <m:e>
                  <m:r>
                    <w:rPr>
                      <w:rFonts w:ascii="Cambria Math" w:hAnsi="Cambria Math"/>
                      <w:lang w:eastAsia="ja-JP"/>
                    </w:rPr>
                    <m:t>S</m:t>
                  </m:r>
                </m:e>
                <m:sub>
                  <m:r>
                    <w:rPr>
                      <w:rFonts w:ascii="Cambria Math" w:hAnsi="Cambria Math"/>
                      <w:lang w:eastAsia="ja-JP"/>
                    </w:rPr>
                    <m:t>E</m:t>
                  </m:r>
                </m:sub>
              </m:sSub>
              <m:r>
                <m:rPr>
                  <m:sty m:val="p"/>
                </m:rPr>
                <w:rPr>
                  <w:rFonts w:ascii="Cambria Math" w:hAnsi="Cambria Math"/>
                  <w:lang w:eastAsia="ja-JP"/>
                </w:rPr>
                <m:t>+</m:t>
              </m:r>
              <m:f>
                <m:fPr>
                  <m:ctrlPr>
                    <w:rPr>
                      <w:rFonts w:ascii="Cambria Math" w:hAnsi="Cambria Math"/>
                      <w:lang w:eastAsia="ja-JP"/>
                    </w:rPr>
                  </m:ctrlPr>
                </m:fPr>
                <m:num>
                  <m:r>
                    <w:rPr>
                      <w:rFonts w:ascii="Cambria Math" w:hAnsi="Cambria Math"/>
                      <w:lang w:eastAsia="ja-JP"/>
                    </w:rPr>
                    <m:t>k</m:t>
                  </m:r>
                </m:num>
                <m:den>
                  <m:r>
                    <w:rPr>
                      <w:rFonts w:ascii="Cambria Math" w:hAnsi="Cambria Math"/>
                      <w:lang w:eastAsia="ja-JP"/>
                    </w:rPr>
                    <m:t>n</m:t>
                  </m:r>
                </m:den>
              </m:f>
              <m:r>
                <m:rPr>
                  <m:sty m:val="p"/>
                </m:rPr>
                <w:rPr>
                  <w:rFonts w:ascii="Cambria Math" w:hAnsi="Cambria Math"/>
                  <w:lang w:eastAsia="ja-JP"/>
                </w:rPr>
                <m:t>(</m:t>
              </m:r>
              <m:r>
                <w:rPr>
                  <w:rFonts w:ascii="Cambria Math" w:hAnsi="Cambria Math"/>
                  <w:lang w:eastAsia="ja-JP"/>
                </w:rPr>
                <m:t>M</m:t>
              </m:r>
              <m:sSub>
                <m:sSubPr>
                  <m:ctrlPr>
                    <w:rPr>
                      <w:rFonts w:ascii="Cambria Math" w:hAnsi="Cambria Math"/>
                      <w:lang w:eastAsia="ja-JP"/>
                    </w:rPr>
                  </m:ctrlPr>
                </m:sSubPr>
                <m:e>
                  <m:r>
                    <w:rPr>
                      <w:rFonts w:ascii="Cambria Math" w:hAnsi="Cambria Math"/>
                      <w:lang w:eastAsia="ja-JP"/>
                    </w:rPr>
                    <m:t>S</m:t>
                  </m:r>
                </m:e>
                <m:sub>
                  <m:r>
                    <w:rPr>
                      <w:rFonts w:ascii="Cambria Math" w:hAnsi="Cambria Math"/>
                      <w:lang w:eastAsia="ja-JP"/>
                    </w:rPr>
                    <m:t>C</m:t>
                  </m:r>
                </m:sub>
              </m:sSub>
              <m:r>
                <m:rPr>
                  <m:sty m:val="p"/>
                </m:rPr>
                <w:rPr>
                  <w:rFonts w:ascii="Cambria Math" w:hAnsi="Cambria Math"/>
                  <w:lang w:eastAsia="ja-JP"/>
                </w:rPr>
                <m:t>-</m:t>
              </m:r>
              <m:r>
                <w:rPr>
                  <w:rFonts w:ascii="Cambria Math" w:hAnsi="Cambria Math"/>
                  <w:lang w:eastAsia="ja-JP"/>
                </w:rPr>
                <m:t>M</m:t>
              </m:r>
              <m:sSub>
                <m:sSubPr>
                  <m:ctrlPr>
                    <w:rPr>
                      <w:rFonts w:ascii="Cambria Math" w:hAnsi="Cambria Math"/>
                      <w:lang w:eastAsia="ja-JP"/>
                    </w:rPr>
                  </m:ctrlPr>
                </m:sSubPr>
                <m:e>
                  <m:r>
                    <w:rPr>
                      <w:rFonts w:ascii="Cambria Math" w:hAnsi="Cambria Math"/>
                      <w:lang w:eastAsia="ja-JP"/>
                    </w:rPr>
                    <m:t>S</m:t>
                  </m:r>
                </m:e>
                <m:sub>
                  <m:r>
                    <w:rPr>
                      <w:rFonts w:ascii="Cambria Math" w:hAnsi="Cambria Math"/>
                      <w:lang w:eastAsia="ja-JP"/>
                    </w:rPr>
                    <m:t>E</m:t>
                  </m:r>
                </m:sub>
              </m:sSub>
              <m:r>
                <m:rPr>
                  <m:sty m:val="p"/>
                </m:rPr>
                <w:rPr>
                  <w:rFonts w:ascii="Cambria Math" w:hAnsi="Cambria Math"/>
                  <w:lang w:eastAsia="ja-JP"/>
                </w:rPr>
                <m:t>)</m:t>
              </m:r>
            </m:den>
          </m:f>
        </m:oMath>
      </m:oMathPara>
    </w:p>
    <w:p w14:paraId="0C607CB0" w14:textId="77777777" w:rsidR="003425FB" w:rsidRPr="00C92F2E" w:rsidRDefault="003425FB" w:rsidP="00852808">
      <w:pPr>
        <w:pStyle w:val="ListParagraph"/>
        <w:spacing w:line="240" w:lineRule="auto"/>
      </w:pPr>
      <w:r w:rsidRPr="00C92F2E">
        <w:t>MS</w:t>
      </w:r>
      <w:r w:rsidRPr="00C92F2E">
        <w:rPr>
          <w:vertAlign w:val="subscript"/>
        </w:rPr>
        <w:t>R</w:t>
      </w:r>
      <w:r w:rsidRPr="00C92F2E">
        <w:t>, mean square for images (or rows); MS</w:t>
      </w:r>
      <w:r w:rsidRPr="00C92F2E">
        <w:rPr>
          <w:vertAlign w:val="subscript"/>
        </w:rPr>
        <w:t>E</w:t>
      </w:r>
      <w:r w:rsidRPr="00C92F2E">
        <w:t>, mean square for error; MS</w:t>
      </w:r>
      <w:r w:rsidRPr="00C92F2E">
        <w:rPr>
          <w:vertAlign w:val="subscript"/>
        </w:rPr>
        <w:t>C</w:t>
      </w:r>
      <w:r w:rsidRPr="00C92F2E">
        <w:t>, mean square for raters (or columns); n, number of images; k, number of raters</w:t>
      </w:r>
    </w:p>
    <w:p w14:paraId="0BEA969C" w14:textId="77777777" w:rsidR="00852808" w:rsidRDefault="00852808" w:rsidP="00896C2E"/>
    <w:p w14:paraId="55BD7F5A" w14:textId="179431B3" w:rsidR="00096D9A" w:rsidRPr="00C92F2E" w:rsidRDefault="003425FB" w:rsidP="00896C2E">
      <w:r w:rsidRPr="00C92F2E">
        <w:t>For both intra-rater and inter-rater assessments, ICC values range from 0 to 1.0, with higher scores indicating a more stable instrument. Cicchetti characteri</w:t>
      </w:r>
      <w:r w:rsidR="007F1782">
        <w:t>s</w:t>
      </w:r>
      <w:r w:rsidRPr="00C92F2E">
        <w:t>ed ICC values &lt;0.40 as poor, 0.40–0.59 as fair, 0.60–0.74 as good and 0.75–1.00 as excellent</w:t>
      </w:r>
      <w:r w:rsidR="008A7A60">
        <w:t xml:space="preserve"> (</w:t>
      </w:r>
      <w:r w:rsidR="008A7A60" w:rsidRPr="008A7A60">
        <w:t xml:space="preserve">Cicchetti DV. </w:t>
      </w:r>
      <w:r w:rsidR="008A7A60" w:rsidRPr="008A7A60">
        <w:rPr>
          <w:i/>
          <w:iCs/>
        </w:rPr>
        <w:t>Psychological Assessment</w:t>
      </w:r>
      <w:r w:rsidR="008A7A60" w:rsidRPr="008A7A60">
        <w:t xml:space="preserve"> 1994; </w:t>
      </w:r>
      <w:r w:rsidR="008A7A60" w:rsidRPr="008A7A60">
        <w:rPr>
          <w:b/>
          <w:bCs/>
        </w:rPr>
        <w:t>6</w:t>
      </w:r>
      <w:r w:rsidR="008A7A60" w:rsidRPr="008A7A60">
        <w:t>:284–90</w:t>
      </w:r>
      <w:r w:rsidR="008A7A60">
        <w:t>)</w:t>
      </w:r>
      <w:r w:rsidR="008A7A60" w:rsidRPr="008A7A60">
        <w:t>.</w:t>
      </w:r>
      <w:r w:rsidRPr="00C92F2E">
        <w:t xml:space="preserve"> To assess the level of reliability, 95% CIs for ICC estimates were calculated using the approach proposed by </w:t>
      </w:r>
      <w:proofErr w:type="spellStart"/>
      <w:r w:rsidRPr="00C92F2E">
        <w:t>Shrout</w:t>
      </w:r>
      <w:proofErr w:type="spellEnd"/>
      <w:r w:rsidRPr="00C92F2E">
        <w:t xml:space="preserve"> and Fleiss</w:t>
      </w:r>
      <w:r w:rsidR="0077155E" w:rsidRPr="00C92F2E">
        <w:t xml:space="preserve"> (</w:t>
      </w:r>
      <w:proofErr w:type="spellStart"/>
      <w:r w:rsidR="00AF2163" w:rsidRPr="00C92F2E">
        <w:t>Shrout</w:t>
      </w:r>
      <w:proofErr w:type="spellEnd"/>
      <w:r w:rsidR="00AF2163" w:rsidRPr="00C92F2E">
        <w:t xml:space="preserve"> PE, Fleiss JL. </w:t>
      </w:r>
      <w:proofErr w:type="spellStart"/>
      <w:r w:rsidR="0077155E" w:rsidRPr="00C92F2E">
        <w:rPr>
          <w:i/>
          <w:iCs/>
        </w:rPr>
        <w:t>Psychol</w:t>
      </w:r>
      <w:proofErr w:type="spellEnd"/>
      <w:r w:rsidR="0077155E" w:rsidRPr="00C92F2E">
        <w:rPr>
          <w:i/>
          <w:iCs/>
        </w:rPr>
        <w:t xml:space="preserve"> Bull</w:t>
      </w:r>
      <w:r w:rsidR="0077155E" w:rsidRPr="00C92F2E">
        <w:t xml:space="preserve"> 1979; </w:t>
      </w:r>
      <w:r w:rsidR="0077155E" w:rsidRPr="007208CF">
        <w:rPr>
          <w:b/>
          <w:bCs/>
        </w:rPr>
        <w:t>86</w:t>
      </w:r>
      <w:r w:rsidR="0077155E" w:rsidRPr="00C92F2E">
        <w:t>:420–8)</w:t>
      </w:r>
      <w:r w:rsidRPr="00C92F2E">
        <w:t>.</w:t>
      </w:r>
      <w:r w:rsidR="00176E0C" w:rsidRPr="00C92F2E">
        <w:t xml:space="preserve"> </w:t>
      </w:r>
    </w:p>
    <w:p w14:paraId="77F7BAF9" w14:textId="77777777" w:rsidR="00096D9A" w:rsidRPr="00C92F2E" w:rsidRDefault="00096D9A" w:rsidP="00896C2E">
      <w:pPr>
        <w:pStyle w:val="Heading1"/>
      </w:pPr>
      <w:r w:rsidRPr="00C92F2E">
        <w:br w:type="page"/>
      </w:r>
    </w:p>
    <w:p w14:paraId="6A07388D" w14:textId="4AE61671" w:rsidR="00096D9A" w:rsidRPr="00C92F2E" w:rsidRDefault="00096D9A" w:rsidP="00896C2E">
      <w:pPr>
        <w:pStyle w:val="Heading1"/>
      </w:pPr>
      <w:bookmarkStart w:id="6" w:name="_Toc110258057"/>
      <w:r w:rsidRPr="00C92F2E">
        <w:lastRenderedPageBreak/>
        <w:t>Intra- and inter-rater reliability among dermatologists</w:t>
      </w:r>
      <w:bookmarkEnd w:id="6"/>
      <w:r w:rsidRPr="00C92F2E">
        <w:t xml:space="preserve"> </w:t>
      </w:r>
    </w:p>
    <w:p w14:paraId="4193C85A" w14:textId="59A095DC" w:rsidR="00A36FBF" w:rsidRPr="00A36FBF" w:rsidRDefault="00A36FBF" w:rsidP="00A36FBF">
      <w:pPr>
        <w:rPr>
          <w:i/>
          <w:iCs/>
        </w:rPr>
      </w:pPr>
      <w:r w:rsidRPr="00A36FBF">
        <w:rPr>
          <w:i/>
          <w:iCs/>
        </w:rPr>
        <w:t xml:space="preserve">Intra-rater </w:t>
      </w:r>
      <w:r>
        <w:rPr>
          <w:i/>
          <w:iCs/>
        </w:rPr>
        <w:t>reliability</w:t>
      </w:r>
      <w:r w:rsidRPr="00A36FBF">
        <w:rPr>
          <w:i/>
          <w:iCs/>
        </w:rPr>
        <w:t xml:space="preserve"> </w:t>
      </w:r>
    </w:p>
    <w:p w14:paraId="10737393" w14:textId="45EBA5FF" w:rsidR="00364034" w:rsidRPr="001E07A1" w:rsidRDefault="00364034" w:rsidP="00896C2E">
      <w:pPr>
        <w:rPr>
          <w:b/>
          <w:bCs/>
          <w:noProof/>
        </w:rPr>
      </w:pPr>
      <w:r w:rsidRPr="001E07A1">
        <w:rPr>
          <w:b/>
          <w:bCs/>
          <w:noProof/>
        </w:rPr>
        <w:t>Intra-rater reliability among dermatologists (n=20 dermatologists; n=16 photographs at each time point)</w:t>
      </w:r>
    </w:p>
    <w:tbl>
      <w:tblPr>
        <w:tblStyle w:val="TableGrid"/>
        <w:tblW w:w="77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360"/>
        <w:gridCol w:w="1361"/>
        <w:gridCol w:w="1361"/>
        <w:gridCol w:w="1361"/>
      </w:tblGrid>
      <w:tr w:rsidR="00364034" w:rsidRPr="00842271" w14:paraId="0F69B4FE" w14:textId="77777777" w:rsidTr="00842271">
        <w:trPr>
          <w:cantSplit/>
          <w:tblHeader/>
        </w:trPr>
        <w:tc>
          <w:tcPr>
            <w:tcW w:w="2263" w:type="dxa"/>
            <w:vMerge w:val="restart"/>
            <w:tcBorders>
              <w:top w:val="single" w:sz="4" w:space="0" w:color="auto"/>
              <w:bottom w:val="single" w:sz="4" w:space="0" w:color="auto"/>
            </w:tcBorders>
          </w:tcPr>
          <w:p w14:paraId="38258241" w14:textId="77777777" w:rsidR="00364034" w:rsidRPr="00842271" w:rsidRDefault="00364034" w:rsidP="00896C2E">
            <w:pPr>
              <w:rPr>
                <w:b/>
                <w:bCs/>
                <w:noProof/>
              </w:rPr>
            </w:pPr>
          </w:p>
        </w:tc>
        <w:tc>
          <w:tcPr>
            <w:tcW w:w="5443" w:type="dxa"/>
            <w:gridSpan w:val="4"/>
            <w:tcBorders>
              <w:bottom w:val="nil"/>
            </w:tcBorders>
            <w:vAlign w:val="center"/>
          </w:tcPr>
          <w:p w14:paraId="1202C5C4" w14:textId="77777777" w:rsidR="00364034" w:rsidRPr="00842271" w:rsidRDefault="00364034" w:rsidP="00842271">
            <w:pPr>
              <w:jc w:val="center"/>
              <w:rPr>
                <w:b/>
                <w:bCs/>
                <w:noProof/>
              </w:rPr>
            </w:pPr>
            <w:r w:rsidRPr="00842271">
              <w:rPr>
                <w:b/>
                <w:bCs/>
                <w:noProof/>
              </w:rPr>
              <w:t>ICC* absolute agreement</w:t>
            </w:r>
          </w:p>
        </w:tc>
      </w:tr>
      <w:tr w:rsidR="00364034" w:rsidRPr="00842271" w14:paraId="318731CF" w14:textId="77777777" w:rsidTr="00842271">
        <w:trPr>
          <w:cantSplit/>
          <w:tblHeader/>
        </w:trPr>
        <w:tc>
          <w:tcPr>
            <w:tcW w:w="2263" w:type="dxa"/>
            <w:vMerge/>
            <w:tcBorders>
              <w:top w:val="nil"/>
              <w:bottom w:val="single" w:sz="4" w:space="0" w:color="auto"/>
            </w:tcBorders>
          </w:tcPr>
          <w:p w14:paraId="65511E02" w14:textId="77777777" w:rsidR="00364034" w:rsidRPr="00842271" w:rsidRDefault="00364034" w:rsidP="00896C2E">
            <w:pPr>
              <w:rPr>
                <w:b/>
                <w:bCs/>
                <w:noProof/>
              </w:rPr>
            </w:pPr>
          </w:p>
        </w:tc>
        <w:tc>
          <w:tcPr>
            <w:tcW w:w="1360" w:type="dxa"/>
            <w:tcBorders>
              <w:top w:val="nil"/>
              <w:bottom w:val="single" w:sz="4" w:space="0" w:color="auto"/>
            </w:tcBorders>
            <w:vAlign w:val="center"/>
          </w:tcPr>
          <w:p w14:paraId="73F9133B" w14:textId="77777777" w:rsidR="00364034" w:rsidRPr="00842271" w:rsidRDefault="00364034" w:rsidP="00842271">
            <w:pPr>
              <w:jc w:val="center"/>
              <w:rPr>
                <w:b/>
                <w:bCs/>
                <w:noProof/>
              </w:rPr>
            </w:pPr>
            <w:r w:rsidRPr="00842271">
              <w:rPr>
                <w:b/>
                <w:bCs/>
                <w:noProof/>
              </w:rPr>
              <w:t>Mean (SD)</w:t>
            </w:r>
          </w:p>
        </w:tc>
        <w:tc>
          <w:tcPr>
            <w:tcW w:w="1361" w:type="dxa"/>
            <w:tcBorders>
              <w:top w:val="nil"/>
              <w:bottom w:val="single" w:sz="4" w:space="0" w:color="auto"/>
            </w:tcBorders>
            <w:vAlign w:val="center"/>
          </w:tcPr>
          <w:p w14:paraId="3563BCD7" w14:textId="77777777" w:rsidR="00364034" w:rsidRPr="00842271" w:rsidRDefault="00364034" w:rsidP="00842271">
            <w:pPr>
              <w:jc w:val="center"/>
              <w:rPr>
                <w:b/>
                <w:bCs/>
                <w:noProof/>
              </w:rPr>
            </w:pPr>
            <w:r w:rsidRPr="00842271">
              <w:rPr>
                <w:b/>
                <w:bCs/>
                <w:noProof/>
              </w:rPr>
              <w:t>Median</w:t>
            </w:r>
          </w:p>
        </w:tc>
        <w:tc>
          <w:tcPr>
            <w:tcW w:w="1361" w:type="dxa"/>
            <w:tcBorders>
              <w:top w:val="nil"/>
              <w:bottom w:val="single" w:sz="4" w:space="0" w:color="auto"/>
            </w:tcBorders>
            <w:vAlign w:val="center"/>
          </w:tcPr>
          <w:p w14:paraId="4E504811" w14:textId="77777777" w:rsidR="00364034" w:rsidRPr="00842271" w:rsidRDefault="00364034" w:rsidP="00842271">
            <w:pPr>
              <w:jc w:val="center"/>
              <w:rPr>
                <w:b/>
                <w:bCs/>
                <w:noProof/>
              </w:rPr>
            </w:pPr>
            <w:r w:rsidRPr="00842271">
              <w:rPr>
                <w:b/>
                <w:bCs/>
                <w:noProof/>
              </w:rPr>
              <w:t>Minimum</w:t>
            </w:r>
          </w:p>
        </w:tc>
        <w:tc>
          <w:tcPr>
            <w:tcW w:w="1361" w:type="dxa"/>
            <w:tcBorders>
              <w:top w:val="nil"/>
              <w:bottom w:val="single" w:sz="4" w:space="0" w:color="auto"/>
            </w:tcBorders>
            <w:vAlign w:val="center"/>
          </w:tcPr>
          <w:p w14:paraId="78E98459" w14:textId="77777777" w:rsidR="00364034" w:rsidRPr="00842271" w:rsidRDefault="00364034" w:rsidP="00842271">
            <w:pPr>
              <w:jc w:val="center"/>
              <w:rPr>
                <w:b/>
                <w:bCs/>
                <w:noProof/>
              </w:rPr>
            </w:pPr>
            <w:r w:rsidRPr="00842271">
              <w:rPr>
                <w:b/>
                <w:bCs/>
                <w:noProof/>
              </w:rPr>
              <w:t>Maximum</w:t>
            </w:r>
          </w:p>
        </w:tc>
      </w:tr>
      <w:tr w:rsidR="00364034" w:rsidRPr="00C92F2E" w14:paraId="736C2F8F" w14:textId="77777777" w:rsidTr="00842271">
        <w:trPr>
          <w:cantSplit/>
          <w:tblHeader/>
        </w:trPr>
        <w:tc>
          <w:tcPr>
            <w:tcW w:w="2263" w:type="dxa"/>
            <w:tcBorders>
              <w:top w:val="single" w:sz="4" w:space="0" w:color="auto"/>
            </w:tcBorders>
          </w:tcPr>
          <w:p w14:paraId="2A8EA632" w14:textId="77777777" w:rsidR="00364034" w:rsidRPr="00C92F2E" w:rsidRDefault="00364034" w:rsidP="00896C2E">
            <w:pPr>
              <w:rPr>
                <w:noProof/>
              </w:rPr>
            </w:pPr>
            <w:r w:rsidRPr="00C92F2E">
              <w:rPr>
                <w:noProof/>
              </w:rPr>
              <w:t>GPPGA total score</w:t>
            </w:r>
          </w:p>
        </w:tc>
        <w:tc>
          <w:tcPr>
            <w:tcW w:w="1360" w:type="dxa"/>
            <w:tcBorders>
              <w:top w:val="single" w:sz="4" w:space="0" w:color="auto"/>
            </w:tcBorders>
            <w:vAlign w:val="center"/>
          </w:tcPr>
          <w:p w14:paraId="3D8A9764" w14:textId="77777777" w:rsidR="00364034" w:rsidRPr="00C92F2E" w:rsidRDefault="00364034" w:rsidP="00842271">
            <w:pPr>
              <w:jc w:val="center"/>
              <w:rPr>
                <w:noProof/>
              </w:rPr>
            </w:pPr>
            <w:r w:rsidRPr="00C92F2E">
              <w:rPr>
                <w:noProof/>
              </w:rPr>
              <w:t>0.90 (0.06)</w:t>
            </w:r>
          </w:p>
        </w:tc>
        <w:tc>
          <w:tcPr>
            <w:tcW w:w="1361" w:type="dxa"/>
            <w:tcBorders>
              <w:top w:val="single" w:sz="4" w:space="0" w:color="auto"/>
            </w:tcBorders>
            <w:vAlign w:val="center"/>
          </w:tcPr>
          <w:p w14:paraId="08DEBF42" w14:textId="77777777" w:rsidR="00364034" w:rsidRPr="00C92F2E" w:rsidRDefault="00364034" w:rsidP="00842271">
            <w:pPr>
              <w:jc w:val="center"/>
              <w:rPr>
                <w:noProof/>
              </w:rPr>
            </w:pPr>
            <w:r w:rsidRPr="00C92F2E">
              <w:rPr>
                <w:noProof/>
              </w:rPr>
              <w:t>0.91</w:t>
            </w:r>
          </w:p>
        </w:tc>
        <w:tc>
          <w:tcPr>
            <w:tcW w:w="1361" w:type="dxa"/>
            <w:tcBorders>
              <w:top w:val="single" w:sz="4" w:space="0" w:color="auto"/>
            </w:tcBorders>
            <w:vAlign w:val="center"/>
          </w:tcPr>
          <w:p w14:paraId="645BF7FA" w14:textId="77777777" w:rsidR="00364034" w:rsidRPr="00C92F2E" w:rsidRDefault="00364034" w:rsidP="00842271">
            <w:pPr>
              <w:jc w:val="center"/>
              <w:rPr>
                <w:noProof/>
              </w:rPr>
            </w:pPr>
            <w:r w:rsidRPr="00C92F2E">
              <w:rPr>
                <w:noProof/>
              </w:rPr>
              <w:t>0.78</w:t>
            </w:r>
          </w:p>
        </w:tc>
        <w:tc>
          <w:tcPr>
            <w:tcW w:w="1361" w:type="dxa"/>
            <w:tcBorders>
              <w:top w:val="single" w:sz="4" w:space="0" w:color="auto"/>
            </w:tcBorders>
            <w:vAlign w:val="center"/>
          </w:tcPr>
          <w:p w14:paraId="37452A15" w14:textId="77777777" w:rsidR="00364034" w:rsidRPr="00C92F2E" w:rsidRDefault="00364034" w:rsidP="00842271">
            <w:pPr>
              <w:jc w:val="center"/>
              <w:rPr>
                <w:noProof/>
              </w:rPr>
            </w:pPr>
            <w:r w:rsidRPr="00C92F2E">
              <w:rPr>
                <w:noProof/>
              </w:rPr>
              <w:t>1.00</w:t>
            </w:r>
          </w:p>
        </w:tc>
      </w:tr>
      <w:tr w:rsidR="00364034" w:rsidRPr="00C92F2E" w14:paraId="28305F6B" w14:textId="77777777" w:rsidTr="00842271">
        <w:trPr>
          <w:cantSplit/>
          <w:tblHeader/>
        </w:trPr>
        <w:tc>
          <w:tcPr>
            <w:tcW w:w="2263" w:type="dxa"/>
          </w:tcPr>
          <w:p w14:paraId="1869692D" w14:textId="77777777" w:rsidR="00364034" w:rsidRPr="00C92F2E" w:rsidRDefault="00364034" w:rsidP="00842271">
            <w:pPr>
              <w:ind w:left="314"/>
              <w:rPr>
                <w:noProof/>
              </w:rPr>
            </w:pPr>
            <w:r w:rsidRPr="00C92F2E">
              <w:rPr>
                <w:noProof/>
              </w:rPr>
              <w:t>Erythema</w:t>
            </w:r>
          </w:p>
        </w:tc>
        <w:tc>
          <w:tcPr>
            <w:tcW w:w="1360" w:type="dxa"/>
            <w:vAlign w:val="center"/>
          </w:tcPr>
          <w:p w14:paraId="1EF4B04D" w14:textId="77777777" w:rsidR="00364034" w:rsidRPr="00C92F2E" w:rsidRDefault="00364034" w:rsidP="00842271">
            <w:pPr>
              <w:jc w:val="center"/>
              <w:rPr>
                <w:noProof/>
              </w:rPr>
            </w:pPr>
            <w:r w:rsidRPr="00C92F2E">
              <w:rPr>
                <w:noProof/>
              </w:rPr>
              <w:t>0.89 (0.07)</w:t>
            </w:r>
          </w:p>
        </w:tc>
        <w:tc>
          <w:tcPr>
            <w:tcW w:w="1361" w:type="dxa"/>
            <w:vAlign w:val="center"/>
          </w:tcPr>
          <w:p w14:paraId="2C1C425B" w14:textId="77777777" w:rsidR="00364034" w:rsidRPr="00C92F2E" w:rsidRDefault="00364034" w:rsidP="00842271">
            <w:pPr>
              <w:jc w:val="center"/>
              <w:rPr>
                <w:noProof/>
              </w:rPr>
            </w:pPr>
            <w:r w:rsidRPr="00C92F2E">
              <w:rPr>
                <w:noProof/>
              </w:rPr>
              <w:t>0.91</w:t>
            </w:r>
          </w:p>
        </w:tc>
        <w:tc>
          <w:tcPr>
            <w:tcW w:w="1361" w:type="dxa"/>
            <w:vAlign w:val="center"/>
          </w:tcPr>
          <w:p w14:paraId="532A625E" w14:textId="77777777" w:rsidR="00364034" w:rsidRPr="00C92F2E" w:rsidRDefault="00364034" w:rsidP="00842271">
            <w:pPr>
              <w:jc w:val="center"/>
              <w:rPr>
                <w:noProof/>
              </w:rPr>
            </w:pPr>
            <w:r w:rsidRPr="00C92F2E">
              <w:rPr>
                <w:noProof/>
              </w:rPr>
              <w:t>0.76</w:t>
            </w:r>
          </w:p>
        </w:tc>
        <w:tc>
          <w:tcPr>
            <w:tcW w:w="1361" w:type="dxa"/>
            <w:vAlign w:val="center"/>
          </w:tcPr>
          <w:p w14:paraId="1C0C8AAA" w14:textId="77777777" w:rsidR="00364034" w:rsidRPr="00C92F2E" w:rsidRDefault="00364034" w:rsidP="00842271">
            <w:pPr>
              <w:jc w:val="center"/>
              <w:rPr>
                <w:noProof/>
              </w:rPr>
            </w:pPr>
            <w:r w:rsidRPr="00C92F2E">
              <w:rPr>
                <w:noProof/>
              </w:rPr>
              <w:t>1.00</w:t>
            </w:r>
          </w:p>
        </w:tc>
      </w:tr>
      <w:tr w:rsidR="00364034" w:rsidRPr="00C92F2E" w14:paraId="2C99A678" w14:textId="77777777" w:rsidTr="00842271">
        <w:trPr>
          <w:cantSplit/>
          <w:tblHeader/>
        </w:trPr>
        <w:tc>
          <w:tcPr>
            <w:tcW w:w="2263" w:type="dxa"/>
          </w:tcPr>
          <w:p w14:paraId="62C96688" w14:textId="77777777" w:rsidR="00364034" w:rsidRPr="00C92F2E" w:rsidRDefault="00364034" w:rsidP="00842271">
            <w:pPr>
              <w:ind w:left="314"/>
              <w:rPr>
                <w:noProof/>
              </w:rPr>
            </w:pPr>
            <w:r w:rsidRPr="00C92F2E">
              <w:rPr>
                <w:noProof/>
              </w:rPr>
              <w:t>Pustules</w:t>
            </w:r>
          </w:p>
        </w:tc>
        <w:tc>
          <w:tcPr>
            <w:tcW w:w="1360" w:type="dxa"/>
            <w:vAlign w:val="center"/>
          </w:tcPr>
          <w:p w14:paraId="636F675D" w14:textId="77777777" w:rsidR="00364034" w:rsidRPr="00C92F2E" w:rsidRDefault="00364034" w:rsidP="00842271">
            <w:pPr>
              <w:jc w:val="center"/>
              <w:rPr>
                <w:noProof/>
              </w:rPr>
            </w:pPr>
            <w:r w:rsidRPr="00C92F2E">
              <w:rPr>
                <w:noProof/>
              </w:rPr>
              <w:t>0.90 (0.07)</w:t>
            </w:r>
          </w:p>
        </w:tc>
        <w:tc>
          <w:tcPr>
            <w:tcW w:w="1361" w:type="dxa"/>
            <w:vAlign w:val="center"/>
          </w:tcPr>
          <w:p w14:paraId="43DD5392" w14:textId="77777777" w:rsidR="00364034" w:rsidRPr="00C92F2E" w:rsidRDefault="00364034" w:rsidP="00842271">
            <w:pPr>
              <w:jc w:val="center"/>
              <w:rPr>
                <w:noProof/>
              </w:rPr>
            </w:pPr>
            <w:r w:rsidRPr="00C92F2E">
              <w:rPr>
                <w:noProof/>
              </w:rPr>
              <w:t>0.92</w:t>
            </w:r>
          </w:p>
        </w:tc>
        <w:tc>
          <w:tcPr>
            <w:tcW w:w="1361" w:type="dxa"/>
            <w:vAlign w:val="center"/>
          </w:tcPr>
          <w:p w14:paraId="1CDBDA63" w14:textId="77777777" w:rsidR="00364034" w:rsidRPr="00C92F2E" w:rsidRDefault="00364034" w:rsidP="00842271">
            <w:pPr>
              <w:jc w:val="center"/>
              <w:rPr>
                <w:noProof/>
              </w:rPr>
            </w:pPr>
            <w:r w:rsidRPr="00C92F2E">
              <w:rPr>
                <w:noProof/>
              </w:rPr>
              <w:t>0.75</w:t>
            </w:r>
          </w:p>
        </w:tc>
        <w:tc>
          <w:tcPr>
            <w:tcW w:w="1361" w:type="dxa"/>
            <w:vAlign w:val="center"/>
          </w:tcPr>
          <w:p w14:paraId="3955D358" w14:textId="77777777" w:rsidR="00364034" w:rsidRPr="00C92F2E" w:rsidRDefault="00364034" w:rsidP="00842271">
            <w:pPr>
              <w:jc w:val="center"/>
              <w:rPr>
                <w:noProof/>
              </w:rPr>
            </w:pPr>
            <w:r w:rsidRPr="00C92F2E">
              <w:rPr>
                <w:noProof/>
              </w:rPr>
              <w:t>1.00</w:t>
            </w:r>
          </w:p>
        </w:tc>
      </w:tr>
      <w:tr w:rsidR="00364034" w:rsidRPr="00C92F2E" w14:paraId="5CDBC704" w14:textId="77777777" w:rsidTr="00842271">
        <w:trPr>
          <w:cantSplit/>
          <w:tblHeader/>
        </w:trPr>
        <w:tc>
          <w:tcPr>
            <w:tcW w:w="2263" w:type="dxa"/>
          </w:tcPr>
          <w:p w14:paraId="1D9418B8" w14:textId="77777777" w:rsidR="00364034" w:rsidRPr="00C92F2E" w:rsidRDefault="00364034" w:rsidP="00842271">
            <w:pPr>
              <w:ind w:left="314"/>
              <w:rPr>
                <w:noProof/>
              </w:rPr>
            </w:pPr>
            <w:r w:rsidRPr="00C92F2E">
              <w:rPr>
                <w:noProof/>
              </w:rPr>
              <w:t>Scaling</w:t>
            </w:r>
          </w:p>
        </w:tc>
        <w:tc>
          <w:tcPr>
            <w:tcW w:w="1360" w:type="dxa"/>
            <w:vAlign w:val="center"/>
          </w:tcPr>
          <w:p w14:paraId="55851D7D" w14:textId="77777777" w:rsidR="00364034" w:rsidRPr="00C92F2E" w:rsidRDefault="00364034" w:rsidP="00842271">
            <w:pPr>
              <w:jc w:val="center"/>
              <w:rPr>
                <w:noProof/>
              </w:rPr>
            </w:pPr>
            <w:r w:rsidRPr="00C92F2E">
              <w:rPr>
                <w:noProof/>
              </w:rPr>
              <w:t>0.87 (0.09)</w:t>
            </w:r>
          </w:p>
        </w:tc>
        <w:tc>
          <w:tcPr>
            <w:tcW w:w="1361" w:type="dxa"/>
            <w:vAlign w:val="center"/>
          </w:tcPr>
          <w:p w14:paraId="6EC92BA9" w14:textId="77777777" w:rsidR="00364034" w:rsidRPr="00C92F2E" w:rsidRDefault="00364034" w:rsidP="00842271">
            <w:pPr>
              <w:jc w:val="center"/>
              <w:rPr>
                <w:noProof/>
              </w:rPr>
            </w:pPr>
            <w:r w:rsidRPr="00C92F2E">
              <w:rPr>
                <w:noProof/>
              </w:rPr>
              <w:t>0.87</w:t>
            </w:r>
          </w:p>
        </w:tc>
        <w:tc>
          <w:tcPr>
            <w:tcW w:w="1361" w:type="dxa"/>
            <w:vAlign w:val="center"/>
          </w:tcPr>
          <w:p w14:paraId="369CD7C6" w14:textId="77777777" w:rsidR="00364034" w:rsidRPr="00C92F2E" w:rsidRDefault="00364034" w:rsidP="00842271">
            <w:pPr>
              <w:jc w:val="center"/>
              <w:rPr>
                <w:noProof/>
              </w:rPr>
            </w:pPr>
            <w:r w:rsidRPr="00C92F2E">
              <w:rPr>
                <w:noProof/>
              </w:rPr>
              <w:t>0.66</w:t>
            </w:r>
          </w:p>
        </w:tc>
        <w:tc>
          <w:tcPr>
            <w:tcW w:w="1361" w:type="dxa"/>
            <w:vAlign w:val="center"/>
          </w:tcPr>
          <w:p w14:paraId="3A0E97A1" w14:textId="77777777" w:rsidR="00364034" w:rsidRPr="00C92F2E" w:rsidRDefault="00364034" w:rsidP="00842271">
            <w:pPr>
              <w:jc w:val="center"/>
              <w:rPr>
                <w:noProof/>
              </w:rPr>
            </w:pPr>
            <w:r w:rsidRPr="00C92F2E">
              <w:rPr>
                <w:noProof/>
              </w:rPr>
              <w:t>1.00</w:t>
            </w:r>
          </w:p>
        </w:tc>
      </w:tr>
    </w:tbl>
    <w:p w14:paraId="766EC1E3" w14:textId="77777777" w:rsidR="00364034" w:rsidRPr="00C92F2E" w:rsidRDefault="00364034" w:rsidP="00852808">
      <w:pPr>
        <w:spacing w:line="240" w:lineRule="auto"/>
        <w:rPr>
          <w:noProof/>
        </w:rPr>
      </w:pPr>
      <w:r w:rsidRPr="00C92F2E">
        <w:rPr>
          <w:noProof/>
        </w:rPr>
        <w:t>*ICC using a two-way mixed-effects model for absolute agreement. ICC &lt;0.40 = poor; 0.40–0.59 = fair; 0.60–0.74 = good; 0.75–1.00 = excellent.</w:t>
      </w:r>
    </w:p>
    <w:p w14:paraId="6D49C592" w14:textId="1103BE6D" w:rsidR="00364034" w:rsidRPr="00C92F2E" w:rsidRDefault="00364034" w:rsidP="00542BA2">
      <w:pPr>
        <w:spacing w:after="360" w:line="240" w:lineRule="auto"/>
        <w:rPr>
          <w:noProof/>
        </w:rPr>
      </w:pPr>
      <w:r w:rsidRPr="00C92F2E">
        <w:rPr>
          <w:noProof/>
        </w:rPr>
        <w:t>GPPGA, Generalized Pustular Psoriasis Physician Global Assessment; ICC, intra-class correlation coefficient; SD, standard deviation.</w:t>
      </w:r>
    </w:p>
    <w:p w14:paraId="4E01237E" w14:textId="32609C50" w:rsidR="003D1EF7" w:rsidRPr="001E07A1" w:rsidRDefault="003D1EF7" w:rsidP="00896C2E">
      <w:pPr>
        <w:rPr>
          <w:b/>
          <w:bCs/>
        </w:rPr>
      </w:pPr>
      <w:r w:rsidRPr="001E07A1">
        <w:rPr>
          <w:b/>
          <w:bCs/>
          <w:noProof/>
        </w:rPr>
        <w:t xml:space="preserve">Mean scaling scores for the 16 images, by dermatologist (black bars, score at first review; grey bars, score at second review). </w:t>
      </w:r>
    </w:p>
    <w:p w14:paraId="1CBB668D" w14:textId="77777777" w:rsidR="003D1EF7" w:rsidRPr="00C92F2E" w:rsidRDefault="003D1EF7" w:rsidP="00896C2E">
      <w:r w:rsidRPr="00C92F2E">
        <w:rPr>
          <w:noProof/>
        </w:rPr>
        <w:drawing>
          <wp:inline distT="0" distB="0" distL="0" distR="0" wp14:anchorId="0279DAC0" wp14:editId="409408F9">
            <wp:extent cx="4488873" cy="2675619"/>
            <wp:effectExtent l="0" t="0" r="698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7"/>
                    <a:stretch>
                      <a:fillRect/>
                    </a:stretch>
                  </pic:blipFill>
                  <pic:spPr>
                    <a:xfrm>
                      <a:off x="0" y="0"/>
                      <a:ext cx="4514391" cy="2690829"/>
                    </a:xfrm>
                    <a:prstGeom prst="rect">
                      <a:avLst/>
                    </a:prstGeom>
                  </pic:spPr>
                </pic:pic>
              </a:graphicData>
            </a:graphic>
          </wp:inline>
        </w:drawing>
      </w:r>
    </w:p>
    <w:p w14:paraId="5C59F787" w14:textId="6C156F31" w:rsidR="003D1EF7" w:rsidRPr="00C92F2E" w:rsidRDefault="003D1EF7" w:rsidP="007D2EF3">
      <w:pPr>
        <w:spacing w:line="240" w:lineRule="auto"/>
        <w:rPr>
          <w:noProof/>
        </w:rPr>
      </w:pPr>
      <w:r w:rsidRPr="00C92F2E">
        <w:rPr>
          <w:noProof/>
        </w:rPr>
        <w:t xml:space="preserve">*Intra-rater ICC &lt;0.75 (0.66, 95% </w:t>
      </w:r>
      <w:r w:rsidR="00F61D26">
        <w:rPr>
          <w:noProof/>
        </w:rPr>
        <w:t>confidence interval:</w:t>
      </w:r>
      <w:r w:rsidRPr="00C92F2E">
        <w:rPr>
          <w:noProof/>
        </w:rPr>
        <w:t xml:space="preserve"> 0.29, 0.85). All other ICC values ≥0.75.</w:t>
      </w:r>
    </w:p>
    <w:p w14:paraId="63E387A7" w14:textId="77777777" w:rsidR="007D2EF3" w:rsidRDefault="007D2EF3" w:rsidP="00896C2E"/>
    <w:p w14:paraId="214B7301" w14:textId="77777777" w:rsidR="00A36FBF" w:rsidRPr="00A36FBF" w:rsidRDefault="00A36FBF" w:rsidP="008A7A60">
      <w:pPr>
        <w:keepNext/>
        <w:keepLines/>
        <w:rPr>
          <w:i/>
          <w:iCs/>
        </w:rPr>
      </w:pPr>
      <w:r w:rsidRPr="00A36FBF">
        <w:rPr>
          <w:i/>
          <w:iCs/>
        </w:rPr>
        <w:lastRenderedPageBreak/>
        <w:t>Int</w:t>
      </w:r>
      <w:r>
        <w:rPr>
          <w:i/>
          <w:iCs/>
        </w:rPr>
        <w:t>er</w:t>
      </w:r>
      <w:r w:rsidRPr="00A36FBF">
        <w:rPr>
          <w:i/>
          <w:iCs/>
        </w:rPr>
        <w:t xml:space="preserve">-rater </w:t>
      </w:r>
      <w:r>
        <w:rPr>
          <w:i/>
          <w:iCs/>
        </w:rPr>
        <w:t>reliability</w:t>
      </w:r>
      <w:r w:rsidRPr="00A36FBF">
        <w:rPr>
          <w:i/>
          <w:iCs/>
        </w:rPr>
        <w:t xml:space="preserve"> </w:t>
      </w:r>
    </w:p>
    <w:p w14:paraId="2FC267F3" w14:textId="3C63F3E6" w:rsidR="00932DAF" w:rsidRPr="001E07A1" w:rsidRDefault="00932DAF" w:rsidP="008A7A60">
      <w:pPr>
        <w:keepNext/>
        <w:keepLines/>
        <w:rPr>
          <w:b/>
          <w:bCs/>
          <w:noProof/>
        </w:rPr>
      </w:pPr>
      <w:r w:rsidRPr="001E07A1">
        <w:rPr>
          <w:b/>
          <w:bCs/>
          <w:noProof/>
        </w:rPr>
        <w:t>Inter-rater reliability for all raters using the first time point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4220"/>
      </w:tblGrid>
      <w:tr w:rsidR="00932DAF" w:rsidRPr="00842271" w14:paraId="6A9EDC80" w14:textId="77777777" w:rsidTr="008E6C14">
        <w:tc>
          <w:tcPr>
            <w:tcW w:w="3005" w:type="dxa"/>
            <w:tcBorders>
              <w:top w:val="single" w:sz="4" w:space="0" w:color="auto"/>
              <w:bottom w:val="single" w:sz="4" w:space="0" w:color="auto"/>
            </w:tcBorders>
          </w:tcPr>
          <w:p w14:paraId="501AA8E6" w14:textId="52C681A6" w:rsidR="00932DAF" w:rsidRPr="00842271" w:rsidRDefault="00932DAF" w:rsidP="008A7A60">
            <w:pPr>
              <w:keepNext/>
              <w:keepLines/>
              <w:rPr>
                <w:b/>
                <w:bCs/>
                <w:noProof/>
              </w:rPr>
            </w:pPr>
            <w:r w:rsidRPr="00842271">
              <w:rPr>
                <w:b/>
                <w:bCs/>
                <w:noProof/>
              </w:rPr>
              <w:t>Dermatologists (n=26)</w:t>
            </w:r>
          </w:p>
        </w:tc>
        <w:tc>
          <w:tcPr>
            <w:tcW w:w="4220" w:type="dxa"/>
            <w:tcBorders>
              <w:top w:val="single" w:sz="4" w:space="0" w:color="auto"/>
              <w:bottom w:val="single" w:sz="4" w:space="0" w:color="auto"/>
            </w:tcBorders>
            <w:vAlign w:val="center"/>
          </w:tcPr>
          <w:p w14:paraId="29CE4E4E" w14:textId="6B51A757" w:rsidR="00932DAF" w:rsidRPr="00842271" w:rsidRDefault="00932DAF" w:rsidP="008A7A60">
            <w:pPr>
              <w:keepNext/>
              <w:keepLines/>
              <w:jc w:val="center"/>
              <w:rPr>
                <w:b/>
                <w:bCs/>
                <w:noProof/>
              </w:rPr>
            </w:pPr>
            <w:r w:rsidRPr="00842271">
              <w:rPr>
                <w:b/>
                <w:bCs/>
                <w:noProof/>
              </w:rPr>
              <w:t>ICC* (2,1) absolute agreement [95% CI]</w:t>
            </w:r>
          </w:p>
        </w:tc>
      </w:tr>
      <w:tr w:rsidR="00932DAF" w:rsidRPr="00C92F2E" w14:paraId="41F8BCB5" w14:textId="77777777" w:rsidTr="008E6C14">
        <w:tc>
          <w:tcPr>
            <w:tcW w:w="3005" w:type="dxa"/>
            <w:tcBorders>
              <w:top w:val="single" w:sz="4" w:space="0" w:color="auto"/>
            </w:tcBorders>
          </w:tcPr>
          <w:p w14:paraId="2F15BC40" w14:textId="77777777" w:rsidR="00932DAF" w:rsidRPr="00C92F2E" w:rsidRDefault="00932DAF" w:rsidP="00896C2E">
            <w:pPr>
              <w:rPr>
                <w:noProof/>
              </w:rPr>
            </w:pPr>
            <w:r w:rsidRPr="00C92F2E">
              <w:rPr>
                <w:noProof/>
              </w:rPr>
              <w:t>GPPGA total score</w:t>
            </w:r>
          </w:p>
        </w:tc>
        <w:tc>
          <w:tcPr>
            <w:tcW w:w="4220" w:type="dxa"/>
            <w:tcBorders>
              <w:top w:val="single" w:sz="4" w:space="0" w:color="auto"/>
            </w:tcBorders>
          </w:tcPr>
          <w:p w14:paraId="0DA65ADE" w14:textId="77777777" w:rsidR="00932DAF" w:rsidRPr="00C92F2E" w:rsidRDefault="00932DAF" w:rsidP="008E6C14">
            <w:pPr>
              <w:jc w:val="center"/>
              <w:rPr>
                <w:noProof/>
              </w:rPr>
            </w:pPr>
            <w:r w:rsidRPr="00C92F2E">
              <w:rPr>
                <w:noProof/>
              </w:rPr>
              <w:t>0.82 [0.73, 0.91]</w:t>
            </w:r>
          </w:p>
        </w:tc>
      </w:tr>
      <w:tr w:rsidR="00932DAF" w:rsidRPr="00C92F2E" w14:paraId="489D9634" w14:textId="77777777" w:rsidTr="008E6C14">
        <w:tc>
          <w:tcPr>
            <w:tcW w:w="3005" w:type="dxa"/>
          </w:tcPr>
          <w:p w14:paraId="7E6C3F38" w14:textId="77777777" w:rsidR="00932DAF" w:rsidRPr="00C92F2E" w:rsidRDefault="00932DAF" w:rsidP="008E6C14">
            <w:pPr>
              <w:ind w:left="314"/>
              <w:rPr>
                <w:noProof/>
              </w:rPr>
            </w:pPr>
            <w:r w:rsidRPr="00C92F2E">
              <w:rPr>
                <w:noProof/>
              </w:rPr>
              <w:t>Erythema</w:t>
            </w:r>
          </w:p>
        </w:tc>
        <w:tc>
          <w:tcPr>
            <w:tcW w:w="4220" w:type="dxa"/>
          </w:tcPr>
          <w:p w14:paraId="4F3F4096" w14:textId="77777777" w:rsidR="00932DAF" w:rsidRPr="00C92F2E" w:rsidRDefault="00932DAF" w:rsidP="008E6C14">
            <w:pPr>
              <w:jc w:val="center"/>
              <w:rPr>
                <w:noProof/>
              </w:rPr>
            </w:pPr>
            <w:r w:rsidRPr="00C92F2E">
              <w:rPr>
                <w:noProof/>
              </w:rPr>
              <w:t>0.82 [0.73, 0.91]</w:t>
            </w:r>
          </w:p>
        </w:tc>
      </w:tr>
      <w:tr w:rsidR="00932DAF" w:rsidRPr="00C92F2E" w14:paraId="227DA352" w14:textId="77777777" w:rsidTr="008E6C14">
        <w:tc>
          <w:tcPr>
            <w:tcW w:w="3005" w:type="dxa"/>
          </w:tcPr>
          <w:p w14:paraId="60982F51" w14:textId="77777777" w:rsidR="00932DAF" w:rsidRPr="00C92F2E" w:rsidRDefault="00932DAF" w:rsidP="008E6C14">
            <w:pPr>
              <w:ind w:left="314"/>
              <w:rPr>
                <w:noProof/>
              </w:rPr>
            </w:pPr>
            <w:r w:rsidRPr="00C92F2E">
              <w:rPr>
                <w:noProof/>
              </w:rPr>
              <w:t>Pustules</w:t>
            </w:r>
          </w:p>
        </w:tc>
        <w:tc>
          <w:tcPr>
            <w:tcW w:w="4220" w:type="dxa"/>
          </w:tcPr>
          <w:p w14:paraId="6DA65E54" w14:textId="77777777" w:rsidR="00932DAF" w:rsidRPr="00C92F2E" w:rsidRDefault="00932DAF" w:rsidP="008E6C14">
            <w:pPr>
              <w:jc w:val="center"/>
              <w:rPr>
                <w:noProof/>
              </w:rPr>
            </w:pPr>
            <w:r w:rsidRPr="00C92F2E">
              <w:rPr>
                <w:noProof/>
              </w:rPr>
              <w:t>0.78 [0.67, 0.88]</w:t>
            </w:r>
          </w:p>
        </w:tc>
      </w:tr>
      <w:tr w:rsidR="00932DAF" w:rsidRPr="00C92F2E" w14:paraId="4BEC36D4" w14:textId="77777777" w:rsidTr="008E6C14">
        <w:tc>
          <w:tcPr>
            <w:tcW w:w="3005" w:type="dxa"/>
          </w:tcPr>
          <w:p w14:paraId="48EF3C5B" w14:textId="77777777" w:rsidR="00932DAF" w:rsidRPr="00C92F2E" w:rsidRDefault="00932DAF" w:rsidP="008E6C14">
            <w:pPr>
              <w:ind w:left="314"/>
              <w:rPr>
                <w:noProof/>
              </w:rPr>
            </w:pPr>
            <w:r w:rsidRPr="00C92F2E">
              <w:rPr>
                <w:noProof/>
              </w:rPr>
              <w:t>Scaling</w:t>
            </w:r>
          </w:p>
        </w:tc>
        <w:tc>
          <w:tcPr>
            <w:tcW w:w="4220" w:type="dxa"/>
          </w:tcPr>
          <w:p w14:paraId="0BAB7676" w14:textId="77777777" w:rsidR="00932DAF" w:rsidRPr="00C92F2E" w:rsidRDefault="00932DAF" w:rsidP="008E6C14">
            <w:pPr>
              <w:jc w:val="center"/>
              <w:rPr>
                <w:noProof/>
              </w:rPr>
            </w:pPr>
            <w:r w:rsidRPr="00C92F2E">
              <w:rPr>
                <w:noProof/>
              </w:rPr>
              <w:t>0.76 [0.65, 0.87]</w:t>
            </w:r>
          </w:p>
        </w:tc>
      </w:tr>
    </w:tbl>
    <w:p w14:paraId="40003211" w14:textId="0D578DC9" w:rsidR="00932DAF" w:rsidRPr="00C92F2E" w:rsidRDefault="00932DAF" w:rsidP="007D2EF3">
      <w:pPr>
        <w:spacing w:line="240" w:lineRule="auto"/>
        <w:rPr>
          <w:noProof/>
        </w:rPr>
      </w:pPr>
      <w:r w:rsidRPr="00C92F2E">
        <w:rPr>
          <w:noProof/>
        </w:rPr>
        <w:t xml:space="preserve">*ICC using a two-way random-effects model for absolute agreement. ICC &lt;0.40 = poor; </w:t>
      </w:r>
      <w:r w:rsidR="00F61D26">
        <w:rPr>
          <w:noProof/>
        </w:rPr>
        <w:br/>
      </w:r>
      <w:r w:rsidRPr="00C92F2E">
        <w:rPr>
          <w:noProof/>
        </w:rPr>
        <w:t>0.40–0.59 = fair; 0.60–0.74 = good; 0.75–1.00 = excellent.</w:t>
      </w:r>
    </w:p>
    <w:p w14:paraId="628D81DA" w14:textId="7CAABD16" w:rsidR="00932DAF" w:rsidRPr="00C92F2E" w:rsidRDefault="00F61D26" w:rsidP="007D2EF3">
      <w:pPr>
        <w:spacing w:line="240" w:lineRule="auto"/>
        <w:rPr>
          <w:noProof/>
        </w:rPr>
      </w:pPr>
      <w:r>
        <w:rPr>
          <w:noProof/>
        </w:rPr>
        <w:t xml:space="preserve">CI, confidence interval; </w:t>
      </w:r>
      <w:r w:rsidR="00932DAF" w:rsidRPr="00C92F2E">
        <w:rPr>
          <w:noProof/>
        </w:rPr>
        <w:t>GPPGA, Generalized Pustular Psoriasis Physician Global Assessment; ICC, intra-class correlation coefficient.</w:t>
      </w:r>
    </w:p>
    <w:p w14:paraId="1A4DA512" w14:textId="77777777" w:rsidR="00932DAF" w:rsidRPr="00C92F2E" w:rsidRDefault="00932DAF" w:rsidP="00896C2E"/>
    <w:p w14:paraId="4E477BB0" w14:textId="7CCEDC5D" w:rsidR="00096D9A" w:rsidRPr="00C92F2E" w:rsidRDefault="00096D9A" w:rsidP="00896C2E">
      <w:pPr>
        <w:pStyle w:val="Heading1"/>
      </w:pPr>
    </w:p>
    <w:sectPr w:rsidR="00096D9A" w:rsidRPr="00C92F2E" w:rsidSect="00C1487A">
      <w:headerReference w:type="even" r:id="rId18"/>
      <w:footerReference w:type="even"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31CF2" w14:textId="77777777" w:rsidR="00D60309" w:rsidRDefault="00D60309" w:rsidP="00896C2E">
      <w:r>
        <w:separator/>
      </w:r>
    </w:p>
  </w:endnote>
  <w:endnote w:type="continuationSeparator" w:id="0">
    <w:p w14:paraId="5F281949" w14:textId="77777777" w:rsidR="00D60309" w:rsidRDefault="00D60309" w:rsidP="00896C2E">
      <w:r>
        <w:continuationSeparator/>
      </w:r>
    </w:p>
  </w:endnote>
  <w:endnote w:type="continuationNotice" w:id="1">
    <w:p w14:paraId="23BC296C" w14:textId="77777777" w:rsidR="00AD3D56" w:rsidRDefault="00AD3D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2F2D4" w14:textId="77777777" w:rsidR="005A3FDA" w:rsidRDefault="009F376C" w:rsidP="00896C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146A" w14:textId="77777777" w:rsidR="005A3FDA" w:rsidRDefault="009F376C" w:rsidP="00896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979A6" w14:textId="77777777" w:rsidR="00D60309" w:rsidRDefault="00D60309" w:rsidP="00896C2E">
      <w:r>
        <w:separator/>
      </w:r>
    </w:p>
  </w:footnote>
  <w:footnote w:type="continuationSeparator" w:id="0">
    <w:p w14:paraId="4E8FA345" w14:textId="77777777" w:rsidR="00D60309" w:rsidRDefault="00D60309" w:rsidP="00896C2E">
      <w:r>
        <w:continuationSeparator/>
      </w:r>
    </w:p>
  </w:footnote>
  <w:footnote w:type="continuationNotice" w:id="1">
    <w:p w14:paraId="5DBBE2C2" w14:textId="77777777" w:rsidR="00AD3D56" w:rsidRDefault="00AD3D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7C89" w14:textId="77777777" w:rsidR="005A3FDA" w:rsidRDefault="009F376C" w:rsidP="00896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32841" w14:textId="77777777" w:rsidR="005A3FDA" w:rsidRDefault="009F376C" w:rsidP="00896C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120D06"/>
    <w:multiLevelType w:val="hybridMultilevel"/>
    <w:tmpl w:val="9F6A5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C205A3F"/>
    <w:multiLevelType w:val="hybridMultilevel"/>
    <w:tmpl w:val="E1F40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3360374">
    <w:abstractNumId w:val="0"/>
  </w:num>
  <w:num w:numId="2" w16cid:durableId="1033069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f055vwhf59sdee0zox5fpcrd95wewdxr0p&quot;&gt;Eff-1 intra_inter-rater BJD Letter library&lt;record-ids&gt;&lt;item&gt;8&lt;/item&gt;&lt;/record-ids&gt;&lt;/item&gt;&lt;/Libraries&gt;"/>
  </w:docVars>
  <w:rsids>
    <w:rsidRoot w:val="00096D9A"/>
    <w:rsid w:val="00050E1E"/>
    <w:rsid w:val="00065AFC"/>
    <w:rsid w:val="000956D7"/>
    <w:rsid w:val="00096D9A"/>
    <w:rsid w:val="00116080"/>
    <w:rsid w:val="00123E25"/>
    <w:rsid w:val="00124B9D"/>
    <w:rsid w:val="00136815"/>
    <w:rsid w:val="00145584"/>
    <w:rsid w:val="00170891"/>
    <w:rsid w:val="00176E0C"/>
    <w:rsid w:val="0018506A"/>
    <w:rsid w:val="001C0F9A"/>
    <w:rsid w:val="001E07A1"/>
    <w:rsid w:val="001F1150"/>
    <w:rsid w:val="0022436E"/>
    <w:rsid w:val="002517D7"/>
    <w:rsid w:val="00263C19"/>
    <w:rsid w:val="003425FB"/>
    <w:rsid w:val="00364034"/>
    <w:rsid w:val="00374002"/>
    <w:rsid w:val="00383B74"/>
    <w:rsid w:val="003D1EF7"/>
    <w:rsid w:val="00403F4C"/>
    <w:rsid w:val="00405BC8"/>
    <w:rsid w:val="004169AB"/>
    <w:rsid w:val="004276B6"/>
    <w:rsid w:val="00457D4A"/>
    <w:rsid w:val="00462F21"/>
    <w:rsid w:val="00462FDD"/>
    <w:rsid w:val="0046481C"/>
    <w:rsid w:val="00485FC3"/>
    <w:rsid w:val="004A3C74"/>
    <w:rsid w:val="004A72CE"/>
    <w:rsid w:val="00534A3D"/>
    <w:rsid w:val="0053667E"/>
    <w:rsid w:val="00542BA2"/>
    <w:rsid w:val="0054305B"/>
    <w:rsid w:val="00567BCB"/>
    <w:rsid w:val="005C0448"/>
    <w:rsid w:val="005E50F0"/>
    <w:rsid w:val="00605B52"/>
    <w:rsid w:val="00681299"/>
    <w:rsid w:val="00684E41"/>
    <w:rsid w:val="0069672C"/>
    <w:rsid w:val="006E0327"/>
    <w:rsid w:val="007208CF"/>
    <w:rsid w:val="00726F16"/>
    <w:rsid w:val="007559A6"/>
    <w:rsid w:val="00763BF0"/>
    <w:rsid w:val="0077155E"/>
    <w:rsid w:val="007A2F6A"/>
    <w:rsid w:val="007C2A1D"/>
    <w:rsid w:val="007D2EF3"/>
    <w:rsid w:val="007D65B6"/>
    <w:rsid w:val="007E0A85"/>
    <w:rsid w:val="007F1782"/>
    <w:rsid w:val="00842271"/>
    <w:rsid w:val="00852808"/>
    <w:rsid w:val="00870843"/>
    <w:rsid w:val="00875EF2"/>
    <w:rsid w:val="0087669C"/>
    <w:rsid w:val="00882DD4"/>
    <w:rsid w:val="00896C2E"/>
    <w:rsid w:val="008A0622"/>
    <w:rsid w:val="008A7A60"/>
    <w:rsid w:val="008E6C14"/>
    <w:rsid w:val="008F6DFD"/>
    <w:rsid w:val="009238C8"/>
    <w:rsid w:val="00925B78"/>
    <w:rsid w:val="00932DAF"/>
    <w:rsid w:val="00943057"/>
    <w:rsid w:val="00982FF3"/>
    <w:rsid w:val="009A09EB"/>
    <w:rsid w:val="009B6A9B"/>
    <w:rsid w:val="009C46C0"/>
    <w:rsid w:val="009F376C"/>
    <w:rsid w:val="009F43D3"/>
    <w:rsid w:val="00A36FBF"/>
    <w:rsid w:val="00A71865"/>
    <w:rsid w:val="00AA1427"/>
    <w:rsid w:val="00AC680C"/>
    <w:rsid w:val="00AD2A51"/>
    <w:rsid w:val="00AD3D56"/>
    <w:rsid w:val="00AF2163"/>
    <w:rsid w:val="00B119A1"/>
    <w:rsid w:val="00B22B13"/>
    <w:rsid w:val="00B22B9A"/>
    <w:rsid w:val="00B42082"/>
    <w:rsid w:val="00B55ABE"/>
    <w:rsid w:val="00B834A2"/>
    <w:rsid w:val="00BA43C7"/>
    <w:rsid w:val="00BA55AE"/>
    <w:rsid w:val="00C078AD"/>
    <w:rsid w:val="00C1487A"/>
    <w:rsid w:val="00C627C6"/>
    <w:rsid w:val="00C662B5"/>
    <w:rsid w:val="00C67268"/>
    <w:rsid w:val="00C865CD"/>
    <w:rsid w:val="00C92F2E"/>
    <w:rsid w:val="00CC3B3D"/>
    <w:rsid w:val="00CE2E55"/>
    <w:rsid w:val="00CE6675"/>
    <w:rsid w:val="00CF209A"/>
    <w:rsid w:val="00D30793"/>
    <w:rsid w:val="00D60309"/>
    <w:rsid w:val="00E02211"/>
    <w:rsid w:val="00E05B29"/>
    <w:rsid w:val="00E218DE"/>
    <w:rsid w:val="00E471DC"/>
    <w:rsid w:val="00E53F2D"/>
    <w:rsid w:val="00E73EB1"/>
    <w:rsid w:val="00E74272"/>
    <w:rsid w:val="00EB00D6"/>
    <w:rsid w:val="00EB1F27"/>
    <w:rsid w:val="00ED583E"/>
    <w:rsid w:val="00F15C67"/>
    <w:rsid w:val="00F61D26"/>
    <w:rsid w:val="00F900CF"/>
    <w:rsid w:val="00F92DB2"/>
    <w:rsid w:val="00FB70A4"/>
    <w:rsid w:val="00FC46FF"/>
    <w:rsid w:val="00FD374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E8290"/>
  <w15:chartTrackingRefBased/>
  <w15:docId w15:val="{66A7B60F-BEDB-40D1-819E-F3A2AC786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C2E"/>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096D9A"/>
    <w:pPr>
      <w:outlineLvl w:val="0"/>
    </w:pPr>
    <w:rPr>
      <w:b/>
      <w:bCs/>
      <w:sz w:val="24"/>
      <w:szCs w:val="24"/>
    </w:rPr>
  </w:style>
  <w:style w:type="paragraph" w:styleId="Heading2">
    <w:name w:val="heading 2"/>
    <w:basedOn w:val="Heading1"/>
    <w:next w:val="Normal"/>
    <w:link w:val="Heading2Char"/>
    <w:uiPriority w:val="9"/>
    <w:unhideWhenUsed/>
    <w:qFormat/>
    <w:rsid w:val="00383B74"/>
    <w:pPr>
      <w:outlineLvl w:val="1"/>
    </w:pPr>
    <w:rPr>
      <w:b w:val="0"/>
      <w:bCs w:val="0"/>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D9A"/>
    <w:rPr>
      <w:b/>
      <w:bCs/>
      <w:sz w:val="24"/>
      <w:szCs w:val="24"/>
    </w:rPr>
  </w:style>
  <w:style w:type="paragraph" w:styleId="TOCHeading">
    <w:name w:val="TOC Heading"/>
    <w:basedOn w:val="Heading1"/>
    <w:next w:val="Normal"/>
    <w:uiPriority w:val="39"/>
    <w:unhideWhenUsed/>
    <w:qFormat/>
    <w:rsid w:val="00096D9A"/>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96D9A"/>
    <w:pPr>
      <w:spacing w:after="100"/>
    </w:pPr>
  </w:style>
  <w:style w:type="character" w:styleId="Hyperlink">
    <w:name w:val="Hyperlink"/>
    <w:basedOn w:val="DefaultParagraphFont"/>
    <w:uiPriority w:val="99"/>
    <w:unhideWhenUsed/>
    <w:rsid w:val="00096D9A"/>
    <w:rPr>
      <w:color w:val="0563C1" w:themeColor="hyperlink"/>
      <w:u w:val="single"/>
    </w:rPr>
  </w:style>
  <w:style w:type="character" w:customStyle="1" w:styleId="Heading2Char">
    <w:name w:val="Heading 2 Char"/>
    <w:basedOn w:val="DefaultParagraphFont"/>
    <w:link w:val="Heading2"/>
    <w:uiPriority w:val="9"/>
    <w:rsid w:val="00383B74"/>
    <w:rPr>
      <w:i/>
      <w:iCs/>
    </w:rPr>
  </w:style>
  <w:style w:type="paragraph" w:styleId="TOC2">
    <w:name w:val="toc 2"/>
    <w:basedOn w:val="Normal"/>
    <w:next w:val="Normal"/>
    <w:autoRedefine/>
    <w:uiPriority w:val="39"/>
    <w:unhideWhenUsed/>
    <w:rsid w:val="00457D4A"/>
    <w:pPr>
      <w:spacing w:after="100"/>
      <w:ind w:left="220"/>
    </w:pPr>
  </w:style>
  <w:style w:type="paragraph" w:styleId="ListParagraph">
    <w:name w:val="List Paragraph"/>
    <w:aliases w:val="Bullets"/>
    <w:basedOn w:val="Normal"/>
    <w:link w:val="ListParagraphChar"/>
    <w:uiPriority w:val="34"/>
    <w:qFormat/>
    <w:rsid w:val="00383B74"/>
    <w:pPr>
      <w:ind w:left="720"/>
      <w:contextualSpacing/>
    </w:pPr>
  </w:style>
  <w:style w:type="paragraph" w:customStyle="1" w:styleId="EndNoteBibliographyTitle">
    <w:name w:val="EndNote Bibliography Title"/>
    <w:basedOn w:val="Normal"/>
    <w:link w:val="EndNoteBibliographyTitleChar"/>
    <w:rsid w:val="00CC3B3D"/>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C3B3D"/>
    <w:rPr>
      <w:rFonts w:ascii="Calibri" w:hAnsi="Calibri" w:cs="Calibri"/>
      <w:noProof/>
      <w:lang w:val="en-US"/>
    </w:rPr>
  </w:style>
  <w:style w:type="paragraph" w:customStyle="1" w:styleId="EndNoteBibliography">
    <w:name w:val="EndNote Bibliography"/>
    <w:basedOn w:val="Normal"/>
    <w:link w:val="EndNoteBibliographyChar"/>
    <w:rsid w:val="00CC3B3D"/>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C3B3D"/>
    <w:rPr>
      <w:rFonts w:ascii="Calibri" w:hAnsi="Calibri" w:cs="Calibri"/>
      <w:noProof/>
      <w:lang w:val="en-US"/>
    </w:rPr>
  </w:style>
  <w:style w:type="character" w:customStyle="1" w:styleId="ListParagraphChar">
    <w:name w:val="List Paragraph Char"/>
    <w:aliases w:val="Bullets Char"/>
    <w:basedOn w:val="DefaultParagraphFont"/>
    <w:link w:val="ListParagraph"/>
    <w:uiPriority w:val="34"/>
    <w:rsid w:val="00263C19"/>
  </w:style>
  <w:style w:type="table" w:styleId="TableGrid">
    <w:name w:val="Table Grid"/>
    <w:basedOn w:val="TableNormal"/>
    <w:uiPriority w:val="39"/>
    <w:rsid w:val="00FD3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64034"/>
    <w:rPr>
      <w:sz w:val="16"/>
      <w:szCs w:val="16"/>
    </w:rPr>
  </w:style>
  <w:style w:type="paragraph" w:styleId="CommentText">
    <w:name w:val="annotation text"/>
    <w:basedOn w:val="Normal"/>
    <w:link w:val="CommentTextChar"/>
    <w:uiPriority w:val="99"/>
    <w:unhideWhenUsed/>
    <w:rsid w:val="00364034"/>
    <w:pPr>
      <w:spacing w:line="240" w:lineRule="auto"/>
    </w:pPr>
    <w:rPr>
      <w:sz w:val="20"/>
      <w:szCs w:val="20"/>
    </w:rPr>
  </w:style>
  <w:style w:type="character" w:customStyle="1" w:styleId="CommentTextChar">
    <w:name w:val="Comment Text Char"/>
    <w:basedOn w:val="DefaultParagraphFont"/>
    <w:link w:val="CommentText"/>
    <w:uiPriority w:val="99"/>
    <w:rsid w:val="00364034"/>
    <w:rPr>
      <w:sz w:val="20"/>
      <w:szCs w:val="20"/>
    </w:rPr>
  </w:style>
  <w:style w:type="paragraph" w:styleId="Header">
    <w:name w:val="header"/>
    <w:basedOn w:val="Normal"/>
    <w:link w:val="HeaderChar"/>
    <w:uiPriority w:val="99"/>
    <w:unhideWhenUsed/>
    <w:rsid w:val="00536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67E"/>
  </w:style>
  <w:style w:type="paragraph" w:styleId="Footer">
    <w:name w:val="footer"/>
    <w:basedOn w:val="Normal"/>
    <w:link w:val="FooterChar"/>
    <w:uiPriority w:val="99"/>
    <w:unhideWhenUsed/>
    <w:rsid w:val="00536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67E"/>
  </w:style>
  <w:style w:type="paragraph" w:styleId="CommentSubject">
    <w:name w:val="annotation subject"/>
    <w:basedOn w:val="CommentText"/>
    <w:next w:val="CommentText"/>
    <w:link w:val="CommentSubjectChar"/>
    <w:uiPriority w:val="99"/>
    <w:semiHidden/>
    <w:unhideWhenUsed/>
    <w:rsid w:val="00123E25"/>
    <w:rPr>
      <w:b/>
      <w:bCs/>
    </w:rPr>
  </w:style>
  <w:style w:type="character" w:customStyle="1" w:styleId="CommentSubjectChar">
    <w:name w:val="Comment Subject Char"/>
    <w:basedOn w:val="CommentTextChar"/>
    <w:link w:val="CommentSubject"/>
    <w:uiPriority w:val="99"/>
    <w:semiHidden/>
    <w:rsid w:val="00123E25"/>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19a46f2-aecc-48d1-8824-7336d4974bf6" xsi:nil="true"/>
    <lcf76f155ced4ddcb4097134ff3c332f xmlns="6b4a5566-120a-41a7-83de-65593666cec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38CAD0950D38D4CBFF42412D81ABE17" ma:contentTypeVersion="13" ma:contentTypeDescription="Create a new document." ma:contentTypeScope="" ma:versionID="0be06797c07ee243b6db52a24ef2f1b6">
  <xsd:schema xmlns:xsd="http://www.w3.org/2001/XMLSchema" xmlns:xs="http://www.w3.org/2001/XMLSchema" xmlns:p="http://schemas.microsoft.com/office/2006/metadata/properties" xmlns:ns2="6b4a5566-120a-41a7-83de-65593666cecb" xmlns:ns3="719a46f2-aecc-48d1-8824-7336d4974bf6" targetNamespace="http://schemas.microsoft.com/office/2006/metadata/properties" ma:root="true" ma:fieldsID="71e8e908bb4652a4238cb957a9d59f74" ns2:_="" ns3:_="">
    <xsd:import namespace="6b4a5566-120a-41a7-83de-65593666cecb"/>
    <xsd:import namespace="719a46f2-aecc-48d1-8824-7336d4974bf6"/>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5566-120a-41a7-83de-65593666c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91526444-8973-4013-83c9-3a3ac6012607"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9a46f2-aecc-48d1-8824-7336d4974bf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c5912ab-3a11-4b26-afd7-d3623ceeee0b}" ma:internalName="TaxCatchAll" ma:showField="CatchAllData" ma:web="719a46f2-aecc-48d1-8824-7336d4974bf6">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DFB124-7B9B-452C-9893-995711040A88}">
  <ds:schemaRefs>
    <ds:schemaRef ds:uri="http://schemas.openxmlformats.org/officeDocument/2006/bibliography"/>
  </ds:schemaRefs>
</ds:datastoreItem>
</file>

<file path=customXml/itemProps2.xml><?xml version="1.0" encoding="utf-8"?>
<ds:datastoreItem xmlns:ds="http://schemas.openxmlformats.org/officeDocument/2006/customXml" ds:itemID="{62274FB2-BCAA-4360-94CB-FF40D2A37F5A}">
  <ds:schemaRefs>
    <ds:schemaRef ds:uri="http://schemas.microsoft.com/office/2006/metadata/properties"/>
    <ds:schemaRef ds:uri="http://schemas.microsoft.com/office/infopath/2007/PartnerControls"/>
    <ds:schemaRef ds:uri="719a46f2-aecc-48d1-8824-7336d4974bf6"/>
    <ds:schemaRef ds:uri="6b4a5566-120a-41a7-83de-65593666cecb"/>
  </ds:schemaRefs>
</ds:datastoreItem>
</file>

<file path=customXml/itemProps3.xml><?xml version="1.0" encoding="utf-8"?>
<ds:datastoreItem xmlns:ds="http://schemas.openxmlformats.org/officeDocument/2006/customXml" ds:itemID="{3C815341-68CB-4071-BA56-2B743CAE3C68}">
  <ds:schemaRefs>
    <ds:schemaRef ds:uri="http://schemas.microsoft.com/sharepoint/v3/contenttype/forms"/>
  </ds:schemaRefs>
</ds:datastoreItem>
</file>

<file path=customXml/itemProps4.xml><?xml version="1.0" encoding="utf-8"?>
<ds:datastoreItem xmlns:ds="http://schemas.openxmlformats.org/officeDocument/2006/customXml" ds:itemID="{C50A07EC-9868-42EB-B17E-57EB62CE03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5566-120a-41a7-83de-65593666cecb"/>
    <ds:schemaRef ds:uri="719a46f2-aecc-48d1-8824-7336d4974b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14</Pages>
  <Words>1664</Words>
  <Characters>9488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Bowler</dc:creator>
  <cp:keywords/>
  <dc:description/>
  <cp:lastModifiedBy>Medical Writer</cp:lastModifiedBy>
  <cp:revision>3</cp:revision>
  <dcterms:created xsi:type="dcterms:W3CDTF">2023-04-20T08:24:00Z</dcterms:created>
  <dcterms:modified xsi:type="dcterms:W3CDTF">2023-04-20T08:24:00Z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0x010100838CAD0950D38D4CBFF42412D81ABE17</vt:lpwstr>
  </property>
  <property fmtid="{D5CDD505-2E9C-101B-9397-08002B2CF9AE}" pid="3" name="Order">
    <vt:r8>100</vt:r8>
  </property>
  <property fmtid="{D5CDD505-2E9C-101B-9397-08002B2CF9AE}" pid="4" name="MediaServiceImageTags">
    <vt:lpwstr/>
  </property>
</Properties>
</file>