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200"/>
      </w:pPr>
      <w:r>
        <w:rPr>
          <w:color w:val="5F6B63"/>
        </w:rPr>
        <w:t xml:space="preserve">Portafolio de Título APT122</w:t>
      </w:r>
    </w:p>
    <w:p>
      <w:pPr>
        <w:spacing w:after="700"/>
      </w:pPr>
      <w:r>
        <w:rPr>
          <w:color w:val="5F6B63"/>
        </w:rPr>
        <w:t xml:space="preserve">Ingeniería en Informática · Duoc UC</w:t>
      </w:r>
    </w:p>
    <w:p>
      <w:pPr>
        <w:pBdr>
          <w:bottom w:val="single" w:color="1F5C3A" w:sz="12" w:space="8"/>
        </w:pBdr>
        <w:spacing w:after="200"/>
      </w:pPr>
      <w:r>
        <w:rPr>
          <w:b/>
          <w:bCs/>
          <w:color w:val="1F5C3A"/>
          <w:sz w:val="52"/>
          <w:szCs w:val="52"/>
        </w:rPr>
        <w:t xml:space="preserve">Justificación de la innovación</w:t>
      </w:r>
    </w:p>
    <w:p>
      <w:pPr>
        <w:spacing w:after="80"/>
      </w:pPr>
      <w:r>
        <w:rPr>
          <w:sz w:val="28"/>
          <w:szCs w:val="28"/>
        </w:rPr>
        <w:t xml:space="preserve">Aporte innovador del proyecto RecyTrack</w:t>
      </w:r>
    </w:p>
    <w:p>
      <w:pPr>
        <w:spacing w:after="1600"/>
      </w:pPr>
      <w:r>
        <w:rPr>
          <w:color w:val="5F6B63"/>
        </w:rPr>
        <w:t xml:space="preserve">Trazabilidad del reciclaje de uso diario en la planta de Viñedos Familia Chadwick</w:t>
      </w:r>
    </w:p>
    <w:p>
      <w:pPr>
        <w:spacing w:after="60"/>
      </w:pPr>
      <w:r>
        <w:rPr>
          <w:b/>
          <w:bCs/>
        </w:rPr>
        <w:t xml:space="preserve">Integrantes</w:t>
      </w:r>
    </w:p>
    <w:p>
      <w:pPr>
        <w:spacing w:after="60"/>
      </w:pPr>
      <w:r>
        <w:t xml:space="preserve">Álvaro Jaña</w:t>
      </w:r>
    </w:p>
    <w:p>
      <w:pPr>
        <w:spacing w:after="60"/>
      </w:pPr>
      <w:r>
        <w:t xml:space="preserve">Matías Bustamante</w:t>
      </w:r>
    </w:p>
    <w:p>
      <w:pPr>
        <w:spacing w:after="400"/>
      </w:pPr>
      <w:r>
        <w:t xml:space="preserve">Vicente Torres</w:t>
      </w:r>
    </w:p>
    <w:p>
      <w:r>
        <w:t xml:space="preserve">Versión vigente: octubre de 2026</w:t>
      </w:r>
    </w:p>
    <w:p>
      <w:r>
        <w:br w:type="page"/>
      </w:r>
    </w:p>
    <w:p>
      <w:pPr>
        <w:sectPr>
          <w:pgSz w:w="11906" w:h="16838" w:orient="portrait"/>
          <w:pgMar w:top="1418" w:right="1418" w:bottom="1418" w:left="1418" w:header="708" w:footer="708" w:gutter="0"/>
          <w:pgNumType/>
          <w:docGrid w:linePitch="360"/>
        </w:sectPr>
      </w:pPr>
    </w:p>
    <w:p>
      <w:pPr>
        <w:pStyle w:val="Heading1"/>
      </w:pPr>
      <w:r>
        <w:t xml:space="preserve">1. Propósito del documento</w:t>
      </w:r>
    </w:p>
    <w:p>
      <w:pPr>
        <w:spacing w:after="140" w:line="300"/>
        <w:jc w:val="both"/>
      </w:pPr>
      <w:r>
        <w:t xml:space="preserve">Este documento justifica por qué RecyTrack es una innovación y delimita con precisión dónde está su aporte. No basta con afirmar que la aplicación es nueva: existen soluciones que ya registran el reciclaje, lo premian o lo recolectan. Por eso el documento muestra qué problema dejan abierto esas soluciones, cómo lo resuelve RecyTrack y qué parte del sistema construido respalda cada afirmación. También declara qué elementos del proyecto no son innovadores, para que la justificación pueda revisarse con el mismo rigor que el resto del trabajo.</w:t>
      </w:r>
    </w:p>
    <w:p>
      <w:pPr>
        <w:pStyle w:val="Heading1"/>
      </w:pPr>
      <w:r>
        <w:t xml:space="preserve">2. Problema que aborda el proyecto</w:t>
      </w:r>
    </w:p>
    <w:p>
      <w:pPr>
        <w:spacing w:after="140" w:line="300"/>
        <w:jc w:val="both"/>
      </w:pPr>
      <w:r>
        <w:t xml:space="preserve">La planta de Viñedos Familia Chadwick está organizada en varias áreas de trabajo y cuenta con puntos limpios compartidos donde los trabajadores depositan el reciclaje de uso diario: botellas, latas, papel y cartón de oficina y del casino. Los residuos industriales y los del proceso vitivinícola quedan fuera del alcance.</w:t>
      </w:r>
    </w:p>
    <w:p>
      <w:pPr>
        <w:spacing w:after="140" w:line="300"/>
        <w:jc w:val="both"/>
      </w:pPr>
      <w:r>
        <w:t xml:space="preserve">En los espacios compartidos el problema no es la falta de contenedores. Un estudio de ComunidadFeliz y Coca-Cola Chile (2023) sobre 600 edificios y condominios mostró que el 75,5 % contaba con contenedores de reciclaje, pero solo el 55 % de las personas los usaba, el 38 % separaba de forma incorrecta y el 88,5 % de los administradores no sabía qué ocurría con el material una vez retirado. El estudio es residencial, pero describe el mismo patrón que enfrenta un lugar de trabajo con puntos de reciclaje comunes: infraestructura disponible, uso parcial, separación deficiente y ninguna visibilidad sobre el resultado.</w:t>
      </w:r>
    </w:p>
    <w:p>
      <w:pPr>
        <w:spacing w:after="140" w:line="300"/>
        <w:jc w:val="both"/>
      </w:pPr>
      <w:r>
        <w:t xml:space="preserve">Para la empresa, esa falta de visibilidad es un problema de evidencia. El decreto de envases y embalajes de la Ley 20.920 (Ley REP) está plenamente vigente desde septiembre de 2023, sus metas para envases no domiciliarios suben en 2026 a 51 % para metal, 32 % para plástico y 65 % para papel y cartón, y el programa de fiscalización 2026 pone mayor énfasis en la información reportada (Prieto Abogados, 2026). A eso se suma que Viñedos Familia Chadwick figura entre las primeras bodegas chilenas en obtener la certificación de sustentabilidad de Vinos de Chile (Hatch Mansfield, s. f.), cuyo código incluye un área social que involucra a los trabajadores y se apoya en registros documentados (Corresponsables, 2016).</w:t>
      </w:r>
    </w:p>
    <w:p>
      <w:pPr>
        <w:spacing w:after="140" w:line="300"/>
        <w:jc w:val="both"/>
      </w:pPr>
      <w:r>
        <w:t xml:space="preserve">El problema queda así definido: </w:t>
      </w:r>
      <w:r>
        <w:rPr>
          <w:b/>
          <w:bCs/>
        </w:rPr>
        <w:t xml:space="preserve">demostrar, sin balanzas y sin personal adicional, que el reciclaje registrado en los puntos limpios efectivamente ocurrió, con qué calidad de separación y qué parte de cada área participó.</w:t>
      </w:r>
    </w:p>
    <w:p>
      <w:pPr>
        <w:pStyle w:val="Heading1"/>
      </w:pPr>
      <w:r>
        <w:t xml:space="preserve">3. Tipo de innovación</w:t>
      </w:r>
    </w:p>
    <w:p>
      <w:pPr>
        <w:spacing w:after="140" w:line="300"/>
        <w:jc w:val="both"/>
      </w:pPr>
      <w:r>
        <w:t xml:space="preserve">El Manual de Oslo define la innovación como un producto o proceso nuevo o mejorado que difiere de manera significativa de los anteriores de la unidad y que se ha puesto a disposición de los usuarios o en uso dentro de ella (OCDE y Eurostat, 2018). Con ese criterio, RecyTrack es principalmente una innovación de proceso: cambia la forma en que la planta gestiona y comprueba su reciclaje de uso diario, y lo hace por medio de un producto digital.</w:t>
      </w:r>
    </w:p>
    <w:p>
      <w:pPr>
        <w:spacing w:after="140" w:line="300"/>
        <w:jc w:val="both"/>
      </w:pPr>
      <w:r>
        <w:t xml:space="preserve">El grado de novedad es distinto según el componente. Las tecnologías que usa —códigos QR, una aplicación web instalable y una base de datos en la nube— son conocidas y accesibles; en ese plano la innovación es incremental. Lo nuevo es el mecanismo que las articula para verificar el reciclaje en una infraestructura compartida, que no existía en la planta ni aparece en las soluciones revisadas en la sección siguiente.</w:t>
      </w:r>
    </w:p>
    <w:p>
      <w:pPr>
        <w:pStyle w:val="Heading1"/>
      </w:pPr>
      <w:r>
        <w:t xml:space="preserve">4. Estado del arte y brecha</w:t>
      </w:r>
    </w:p>
    <w:p>
      <w:pPr>
        <w:spacing w:after="140" w:line="300"/>
        <w:jc w:val="both"/>
      </w:pPr>
      <w:r>
        <w:t xml:space="preserve">Se revisaron tres tipos de solución. Reciclapp conecta a personas con recicladores de base para el retiro domiciliario y premia con puntos canjeables. Los sistemas de gestión de la Ley REP, como ReSimple, operan la recolección a escala para cumplir metas de valorización, y su dato es el tonelaje agregado al momento del retiro. EcoTrack (Jorquera, 2025), proyecto de Diseño Gráfico de Duoc UC reconocido en los Premios DD 2025, propone reciclaje gamificado en festivales con pulseras QR y recompensas individuales.</w:t>
      </w:r>
    </w:p>
    <w:p>
      <w:pPr>
        <w:spacing w:after="140" w:line="300"/>
        <w:jc w:val="both"/>
      </w:pPr>
      <w:r>
        <w:t xml:space="preserve">Las tres comparten un esqueleto: registro digital del acto, incentivo y visualización del impacto. Ese esqueleto está difundido y no constituye por sí mismo un aporte. La brecha está entre las funciones que cubren: estas soluciones registran, motivan o recolectan, pero ninguna verifica, con bajo costo y sin instrumentos de medición, que el reciclaje registrado en un espacio compartido ocurrió y con qué calidad. La Tabla 1 resume la comparación.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650"/>
        <w:gridCol w:w="1700"/>
        <w:gridCol w:w="2170"/>
      </w:tblGrid>
      <w:tr>
        <w:trPr>
          <w:tblHeader/>
        </w:trPr>
        <w:tc>
          <w:tcPr>
            <w:tcW w:type="dxa" w:w="190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Dimensión</w:t>
            </w:r>
          </w:p>
        </w:tc>
        <w:tc>
          <w:tcPr>
            <w:tcW w:type="dxa" w:w="165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Reciclapp</w:t>
            </w:r>
          </w:p>
        </w:tc>
        <w:tc>
          <w:tcPr>
            <w:tcW w:type="dxa" w:w="165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Sistemas REP</w:t>
            </w:r>
          </w:p>
        </w:tc>
        <w:tc>
          <w:tcPr>
            <w:tcW w:type="dxa" w:w="170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EcoTrack (Jorquera, 2025)</w:t>
            </w:r>
          </w:p>
        </w:tc>
        <w:tc>
          <w:tcPr>
            <w:tcW w:type="dxa" w:w="217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RecyTrack</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Contexto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Domicilio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Recolección a escala</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Eventos masivos</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Lugar de trabajo con puntos limpios compartidos</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Unidad de participación</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Individuo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 aplica</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Individuo</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Área de la planta</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Registro del acto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Declaración del usuario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Pesaje en el retiro</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Escaneo de pulsera</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Escaneo del QR del contenedor, con código no adivinable</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Verificación por otro actor</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Parcial, en el retiro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Tonelaje agregado</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 descrita</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Validación diaria por contenedor y retiro registrado que certifica</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Separa lo verificado de lo estimado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 aplica</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Sí: masa estimada por talla, verificada si el retiro trae peso</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Calidad de separación</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Incidencias de contaminación por contenedor</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Evidencia del resultado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Reportes normativos</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Certificado mensual por persona y reporte mensual de la planta</w:t>
            </w:r>
          </w:p>
        </w:tc>
      </w:tr>
      <w:tr>
        <w:trPr>
          <w:tblHeader w:val="false"/>
        </w:trPr>
        <w:tc>
          <w:tcPr>
            <w:tcW w:type="dxa" w:w="19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Incentivo</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Puntos canjeables</w:t>
            </w:r>
          </w:p>
        </w:tc>
        <w:tc>
          <w:tcPr>
            <w:tcW w:type="dxa" w:w="165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No aplica</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Recompensas individuales</w:t>
            </w:r>
          </w:p>
        </w:tc>
        <w:tc>
          <w:tcPr>
            <w:tcW w:type="dxa" w:w="2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Meta de participación por área</w:t>
            </w:r>
          </w:p>
        </w:tc>
      </w:tr>
    </w:tbl>
    <w:p>
      <w:pPr>
        <w:spacing w:after="240" w:before="60"/>
      </w:pPr>
      <w:r>
        <w:rPr>
          <w:i/>
          <w:iCs/>
          <w:color w:val="5F6B63"/>
          <w:sz w:val="18"/>
          <w:szCs w:val="18"/>
        </w:rPr>
        <w:t xml:space="preserve">Tabla 1. Comparación de RecyTrack con las soluciones revisadas.</w:t>
      </w:r>
    </w:p>
    <w:p>
      <w:pPr>
        <w:pStyle w:val="Heading1"/>
      </w:pPr>
      <w:r>
        <w:t xml:space="preserve">5. Aportes innovadores</w:t>
      </w:r>
    </w:p>
    <w:p>
      <w:pPr>
        <w:spacing w:after="140" w:line="300"/>
        <w:jc w:val="both"/>
      </w:pPr>
      <w:r>
        <w:t xml:space="preserve">RecyTrack responde a la brecha con cinco aportes. Cada uno se describe junto con el mecanismo del sistema que lo implementa, de modo que pueda comprobarse en la aplicación y en su código.</w:t>
      </w:r>
    </w:p>
    <w:p>
      <w:pPr>
        <w:pStyle w:val="Heading2"/>
      </w:pPr>
      <w:r>
        <w:t xml:space="preserve">5.1 Cadena de verificación en tres etapas, sin instrumentos de medición</w:t>
      </w:r>
    </w:p>
    <w:p>
      <w:pPr>
        <w:spacing w:after="140" w:line="300"/>
        <w:jc w:val="both"/>
      </w:pPr>
      <w:r>
        <w:t xml:space="preserve">En lugar de pesar o fotografiar cada bolsa, RecyTrack reemplaza el instrumento de medición por una verificación cruzada entre roles. Un depósito pasa por tres etapas y cada una la firma una persona distinta con su propia cuenta (Tabla 2). El validador y el administrador no pueden registrar depósitos, de modo que nadie valida lo que él mismo declaró.</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70"/>
      </w:tblGrid>
      <w:tr>
        <w:trPr>
          <w:tblHeader/>
        </w:trPr>
        <w:tc>
          <w:tcPr>
            <w:tcW w:type="dxa" w:w="150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Etapa</w:t>
            </w:r>
          </w:p>
        </w:tc>
        <w:tc>
          <w:tcPr>
            <w:tcW w:type="dxa" w:w="170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Quién la firma</w:t>
            </w:r>
          </w:p>
        </w:tc>
        <w:tc>
          <w:tcPr>
            <w:tcW w:type="dxa" w:w="270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Qué demuestra</w:t>
            </w:r>
          </w:p>
        </w:tc>
        <w:tc>
          <w:tcPr>
            <w:tcW w:type="dxa" w:w="3170"/>
            <w:tcBorders>
              <w:top w:val="single" w:color="BFC9C2" w:sz="4"/>
              <w:left w:val="single" w:color="BFC9C2" w:sz="4"/>
              <w:bottom w:val="single" w:color="BFC9C2" w:sz="4"/>
              <w:right w:val="single" w:color="BFC9C2" w:sz="4"/>
            </w:tcBorders>
            <w:shd w:fill="E3EEE6" w:color="auto" w:val="clear"/>
            <w:tcMar>
              <w:top w:type="dxa" w:w="70"/>
              <w:left w:type="dxa" w:w="100"/>
              <w:bottom w:type="dxa" w:w="70"/>
              <w:right w:type="dxa" w:w="100"/>
            </w:tcMar>
          </w:tcPr>
          <w:p>
            <w:pPr>
              <w:spacing w:after="20" w:line="260"/>
            </w:pPr>
            <w:r>
              <w:rPr>
                <w:b/>
                <w:bCs/>
                <w:sz w:val="18"/>
                <w:szCs w:val="18"/>
              </w:rPr>
              <w:t xml:space="preserve">Cómo lo asegura el sistema</w:t>
            </w:r>
          </w:p>
        </w:tc>
      </w:tr>
      <w:tr>
        <w:trPr>
          <w:tblHeader w:val="false"/>
        </w:trPr>
        <w:tc>
          <w:tcPr>
            <w:tcW w:type="dxa" w:w="15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Depósito</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Colaborador</w:t>
            </w:r>
          </w:p>
        </w:tc>
        <w:tc>
          <w:tcPr>
            <w:tcW w:type="dxa" w:w="2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Que la persona estuvo frente al contenedor</w:t>
            </w:r>
          </w:p>
        </w:tc>
        <w:tc>
          <w:tcPr>
            <w:tcW w:type="dxa" w:w="3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El QR lleva un código aleatorio no adivinable y los colaboradores no pueden listar los contenedores: registrar exige escanearlo en el lugar</w:t>
            </w:r>
          </w:p>
        </w:tc>
      </w:tr>
      <w:tr>
        <w:trPr>
          <w:tblHeader w:val="false"/>
        </w:trPr>
        <w:tc>
          <w:tcPr>
            <w:tcW w:type="dxa" w:w="15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Validación</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Validador (titular o suplente)</w:t>
            </w:r>
          </w:p>
        </w:tc>
        <w:tc>
          <w:tcPr>
            <w:tcW w:type="dxa" w:w="2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Que lo declarado está en el contenedor y cómo viene separado</w:t>
            </w:r>
          </w:p>
        </w:tc>
        <w:tc>
          <w:tcPr>
            <w:tcW w:type="dxa" w:w="3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Ronda diaria por contenedor completo, no bolsa por bolsa: Conforme, Con observación o Sin material</w:t>
            </w:r>
          </w:p>
        </w:tc>
      </w:tr>
      <w:tr>
        <w:trPr>
          <w:tblHeader w:val="false"/>
        </w:trPr>
        <w:tc>
          <w:tcPr>
            <w:tcW w:type="dxa" w:w="15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Retiro</w:t>
            </w:r>
          </w:p>
        </w:tc>
        <w:tc>
          <w:tcPr>
            <w:tcW w:type="dxa" w:w="1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Administrador de planta</w:t>
            </w:r>
          </w:p>
        </w:tc>
        <w:tc>
          <w:tcPr>
            <w:tcW w:type="dxa" w:w="270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Que el material salió físicamente de la planta</w:t>
            </w:r>
          </w:p>
        </w:tc>
        <w:tc>
          <w:tcPr>
            <w:tcW w:type="dxa" w:w="3170"/>
            <w:tcBorders>
              <w:top w:val="single" w:color="BFC9C2" w:sz="4"/>
              <w:left w:val="single" w:color="BFC9C2" w:sz="4"/>
              <w:bottom w:val="single" w:color="BFC9C2" w:sz="4"/>
              <w:right w:val="single" w:color="BFC9C2" w:sz="4"/>
            </w:tcBorders>
            <w:tcMar>
              <w:top w:type="dxa" w:w="70"/>
              <w:left w:type="dxa" w:w="100"/>
              <w:bottom w:type="dxa" w:w="70"/>
              <w:right w:type="dxa" w:w="100"/>
            </w:tcMar>
          </w:tcPr>
          <w:p>
            <w:pPr>
              <w:spacing w:after="20" w:line="260"/>
            </w:pPr>
            <w:r>
              <w:rPr>
                <w:b w:val="false"/>
                <w:bCs w:val="false"/>
                <w:sz w:val="18"/>
                <w:szCs w:val="18"/>
              </w:rPr>
              <w:t xml:space="preserve">El retiro (fecha, quién retira, N° de guía, contenedores y peso opcional) certifica en la misma escritura los depósitos validados de esos contenedores</w:t>
            </w:r>
          </w:p>
        </w:tc>
      </w:tr>
    </w:tbl>
    <w:p>
      <w:pPr>
        <w:spacing w:after="240" w:before="60"/>
      </w:pPr>
      <w:r>
        <w:rPr>
          <w:i/>
          <w:iCs/>
          <w:color w:val="5F6B63"/>
          <w:sz w:val="18"/>
          <w:szCs w:val="18"/>
        </w:rPr>
        <w:t xml:space="preserve">Tabla 2. Etapas de la cadena de verificación.</w:t>
      </w:r>
    </w:p>
    <w:p>
      <w:pPr>
        <w:spacing w:after="140" w:line="300"/>
        <w:jc w:val="both"/>
      </w:pPr>
      <w:r>
        <w:t xml:space="preserve">Un depósito solo llega al estado certificado si el material salió de la planta, y ningún rol puede recorrer la cadena completo por sí solo. La carga operativa es una ronda diaria, que el personal existente puede absorber.</w:t>
      </w:r>
    </w:p>
    <w:p>
      <w:pPr>
        <w:pStyle w:val="Heading2"/>
      </w:pPr>
      <w:r>
        <w:t xml:space="preserve">5.2 Honestidad del dato: separar lo verificado de lo estimado</w:t>
      </w:r>
    </w:p>
    <w:p>
      <w:pPr>
        <w:spacing w:after="140" w:line="300"/>
        <w:jc w:val="both"/>
      </w:pPr>
      <w:r>
        <w:t xml:space="preserve">Sin balanzas, la masa no puede medirse; puede estimarse. El colaborador indica la talla de bolsa en que trajo el material (S, M, L o XL, de 5 a 60 litros) y la aplicación estima los kilos con una tabla de densidades por material. Nadie escribe kilos a mano: el servidor solo acepta los valores de esa tabla, y al validar, el validador confirma exactamente lo declarado, sin poder aumentarlo.</w:t>
      </w:r>
    </w:p>
    <w:p>
      <w:pPr>
        <w:spacing w:after="140" w:line="300"/>
        <w:jc w:val="both"/>
      </w:pPr>
      <w:r>
        <w:t xml:space="preserve">Cuando quien retira informa el peso, el retiro se rotula como verificado; si no, como estimado, y el reporte mensual mantiene esa distinción. Esta decisión explica también por qué los incentivos nunca se fijan en kilos: premiar un dato estimado invitaría a inflarlo.</w:t>
      </w:r>
    </w:p>
    <w:p>
      <w:pPr>
        <w:pStyle w:val="Heading2"/>
      </w:pPr>
      <w:r>
        <w:t xml:space="preserve">5.3 Integridad garantizada en el servidor, sin servidor propio</w:t>
      </w:r>
    </w:p>
    <w:p>
      <w:pPr>
        <w:spacing w:after="140" w:line="300"/>
        <w:jc w:val="both"/>
      </w:pPr>
      <w:r>
        <w:t xml:space="preserve">Todas las reglas de la cadena se ejecutan en el servidor mediante las reglas de seguridad de Cloud Firestore, no en la aplicación. Funcionan como una máquina de estados —pendiente, validado o rechazado, certificado— y validan cada campo de cada escritura: quién la hace, en qué planta y área, con qué contenedor, con qué kilos y en qué fecha. Aunque alguien escribiera directamente en la base de datos, saltándose la aplicación, no podría inventar depósitos, kilos ni certificados.</w:t>
      </w:r>
    </w:p>
    <w:p>
      <w:pPr>
        <w:spacing w:after="140" w:line="300"/>
        <w:jc w:val="both"/>
      </w:pPr>
      <w:r>
        <w:t xml:space="preserve">El aporte técnico está en que esto se logra sin funciones en la nube, que exigirían un plan de pago. Incluso los totales mensuales por área, que alimentan el ranking, los escribe el propio colaborador, y las reglas comprueban que cada escritura suma exactamente un depósito a su área y cuenta a cada persona una sola vez por mes. Las reglas están cubiertas por 188 casos de prueba contra el emulador de Firestore, y la lógica de la aplicación por otros 146.</w:t>
      </w:r>
    </w:p>
    <w:p>
      <w:pPr>
        <w:pStyle w:val="Heading2"/>
      </w:pPr>
      <w:r>
        <w:t xml:space="preserve">5.4 Responsabilidad colectiva y privacidad</w:t>
      </w:r>
    </w:p>
    <w:p>
      <w:pPr>
        <w:spacing w:after="140" w:line="300"/>
        <w:jc w:val="both"/>
      </w:pPr>
      <w:r>
        <w:t xml:space="preserve">En un contenedor compartido no es posible saber quién lo contaminó, por lo que un incentivo individual no puede corregir la separación; uno colectivo sí. Por eso la unidad de participación es el área y la meta del incentivo que define la viña es el porcentaje de la dotación del área que recicló en el mes, nunca los kilos.</w:t>
      </w:r>
    </w:p>
    <w:p>
      <w:pPr>
        <w:spacing w:after="140" w:line="300"/>
        <w:jc w:val="both"/>
      </w:pPr>
      <w:r>
        <w:t xml:space="preserve">Cuando el validador encuentra material que no corresponde, registra una incidencia sobre el contenedor, no sobre una persona. La incidencia advierte al administrador antes del retiro, informa a la planta y se mide en el reporte mensual como calidad de separación. Al mismo tiempo, el depósito se guarda sin el nombre de quien lo hizo, el ranking se calcula a partir de totales por área sin leer los depósitos de los demás, y solo el administrador puede ver los perfiles.</w:t>
      </w:r>
    </w:p>
    <w:p>
      <w:pPr>
        <w:pStyle w:val="Heading2"/>
      </w:pPr>
      <w:r>
        <w:t xml:space="preserve">5.5 Evidencia para la empresa</w:t>
      </w:r>
    </w:p>
    <w:p>
      <w:pPr>
        <w:spacing w:after="140" w:line="300"/>
        <w:jc w:val="both"/>
      </w:pPr>
      <w:r>
        <w:t xml:space="preserve">Cada colaborador puede descargar un certificado mensual en PDF, con un código único, el total del mes, el desglose por material y el detalle de cada depósito con sus fechas de validación y retiro. El administrador obtiene un reporte mensual de la planta con la participación por área, los kilos por material, el estado de los depósitos, los retiros rotulados como verificados o estimados, las incidencias de contaminación y el cumplimiento de las rondas.</w:t>
      </w:r>
    </w:p>
    <w:p>
      <w:pPr>
        <w:spacing w:after="140" w:line="300"/>
        <w:jc w:val="both"/>
      </w:pPr>
      <w:r>
        <w:t xml:space="preserve">RecyTrack no reemplaza los reportes normativos que realizan los sistemas de gestión, pero entrega lo que estos no tienen: el dato de origen, verificable, de quién participó y con qué calidad en el punto donde se genera el residuo.</w:t>
      </w:r>
    </w:p>
    <w:p>
      <w:pPr>
        <w:pStyle w:val="Heading1"/>
      </w:pPr>
      <w:r>
        <w:t xml:space="preserve">6. Factibilidad y escalabilidad</w:t>
      </w:r>
    </w:p>
    <w:p>
      <w:pPr>
        <w:spacing w:after="140" w:line="300"/>
        <w:jc w:val="both"/>
      </w:pPr>
      <w:r>
        <w:t xml:space="preserve">La innovación es aplicable porque no depende de presupuesto. RecyTrack se distribuye como aplicación web instalable, sin pasar por tiendas de aplicaciones; usa el plan gratuito de Firebase; los códigos QR se imprimen en papel desde el propio panel; y la operación diaria descansa en una ronda que realiza personal que ya trabaja en la planta.</w:t>
      </w:r>
    </w:p>
    <w:p>
      <w:pPr>
        <w:spacing w:after="140" w:line="300"/>
        <w:jc w:val="both"/>
      </w:pPr>
      <w:r>
        <w:t xml:space="preserve">El diseño es escalable sin reescribir el sistema. Cada dato pertenece a una planta y cada planta tiene su propio código de administrador, de modo que el mismo sistema puede servir a otras plantas o empresas. Las áreas, los puntos limpios, los contenedores y el validador se configuran desde el panel del administrador, sin programar.</w:t>
      </w:r>
    </w:p>
    <w:p>
      <w:pPr>
        <w:pStyle w:val="Heading1"/>
      </w:pPr>
      <w:r>
        <w:t xml:space="preserve">7. Límites de la innovación</w:t>
      </w:r>
    </w:p>
    <w:p>
      <w:pPr>
        <w:spacing w:after="140" w:line="300"/>
        <w:jc w:val="both"/>
      </w:pPr>
      <w:r>
        <w:t xml:space="preserve">Para que la justificación sea verificable, se declaran también los aspectos que no son innovadores o que todavía no están demostrados:</w:t>
      </w:r>
    </w:p>
    <w:p>
      <w:pPr>
        <w:pStyle w:val="ListParagraph"/>
        <w:numPr>
          <w:ilvl w:val="0"/>
          <w:numId w:val="2"/>
        </w:numPr>
        <w:spacing w:after="80" w:line="290"/>
        <w:jc w:val="both"/>
      </w:pPr>
      <w:r>
        <w:t xml:space="preserve">El registro por QR, la gamificación y la visualización del impacto son componentes compartidos con otras soluciones; el aporte está en el mecanismo de verificación que los articula.</w:t>
      </w:r>
    </w:p>
    <w:p>
      <w:pPr>
        <w:pStyle w:val="ListParagraph"/>
        <w:numPr>
          <w:ilvl w:val="0"/>
          <w:numId w:val="2"/>
        </w:numPr>
        <w:spacing w:after="80" w:line="290"/>
        <w:jc w:val="both"/>
      </w:pPr>
      <w:r>
        <w:t xml:space="preserve">La masa es estimada cuando el retiro no trae peso, y su precisión depende de calibrar la tabla de densidades con pesajes reales.</w:t>
      </w:r>
    </w:p>
    <w:p>
      <w:pPr>
        <w:pStyle w:val="ListParagraph"/>
        <w:numPr>
          <w:ilvl w:val="0"/>
          <w:numId w:val="2"/>
        </w:numPr>
        <w:spacing w:after="80" w:line="290"/>
        <w:jc w:val="both"/>
      </w:pPr>
      <w:r>
        <w:t xml:space="preserve">La validación es visual: confirma presencia y calidad de separación por contenedor, no el contenido exacto de cada depósito.</w:t>
      </w:r>
    </w:p>
    <w:p>
      <w:pPr>
        <w:pStyle w:val="ListParagraph"/>
        <w:numPr>
          <w:ilvl w:val="0"/>
          <w:numId w:val="2"/>
        </w:numPr>
        <w:spacing w:after="80" w:line="290"/>
        <w:jc w:val="both"/>
      </w:pPr>
      <w:r>
        <w:t xml:space="preserve">El efecto sobre la participación debe medirse en el piloto de cuatro semanas, con metas de participación igual o superior al 60 % y una cadena completa en menos de 48 horas en promedio.</w:t>
      </w:r>
    </w:p>
    <w:p>
      <w:pPr>
        <w:pStyle w:val="ListParagraph"/>
        <w:numPr>
          <w:ilvl w:val="0"/>
          <w:numId w:val="2"/>
        </w:numPr>
        <w:spacing w:after="80" w:line="290"/>
        <w:jc w:val="both"/>
      </w:pPr>
      <w:r>
        <w:t xml:space="preserve">No hay verificación por terceros externos a la planta ni integración con los sistemas de gestión de la Ley REP.</w:t>
      </w:r>
    </w:p>
    <w:p>
      <w:pPr>
        <w:pStyle w:val="Heading1"/>
      </w:pPr>
      <w:r>
        <w:t xml:space="preserve">8. Conclusión</w:t>
      </w:r>
    </w:p>
    <w:p>
      <w:pPr>
        <w:spacing w:after="140" w:line="300"/>
        <w:jc w:val="both"/>
      </w:pPr>
      <w:r>
        <w:t xml:space="preserve">RecyTrack no se justifica como innovación por usar tecnologías nuevas, sino por resolver un problema que las soluciones existentes dejan abierto: verificar, con bajo costo y sin instrumentos, el reciclaje de uso diario en una infraestructura compartida. Lo logra con una cadena de tres etapas firmadas por roles distintos, un dato que distingue lo verificado de lo estimado, reglas que garantizan la integridad en el servidor sin costo de infraestructura, un incentivo colectivo que respeta la privacidad y evidencia mensual útil para la empresa. Es una innovación de proceso, factible con los recursos de la planta y escalable a otras organizaciones.</w:t>
      </w:r>
    </w:p>
    <w:p>
      <w:pPr>
        <w:pStyle w:val="Heading1"/>
      </w:pPr>
      <w:r>
        <w:t xml:space="preserve">Referencias</w:t>
      </w:r>
    </w:p>
    <w:p>
      <w:pPr>
        <w:spacing w:after="120" w:line="276"/>
        <w:ind w:left="567" w:hanging="567"/>
      </w:pPr>
      <w:r>
        <w:rPr>
          <w:sz w:val="20"/>
          <w:szCs w:val="20"/>
        </w:rPr>
        <w:t xml:space="preserve">ComunidadFeliz y Coca-Cola Chile. (2023). Radiografía al reciclaje en edificios y condominios. País Circular. https://www.paiscircular.cl/economia-circular/radiografia-al-reciclaje-en-edificios-y-condominios-38-no-separa-bien-los-residuos/</w:t>
      </w:r>
    </w:p>
    <w:p>
      <w:pPr>
        <w:spacing w:after="120" w:line="276"/>
        <w:ind w:left="567" w:hanging="567"/>
      </w:pPr>
      <w:r>
        <w:rPr>
          <w:sz w:val="20"/>
          <w:szCs w:val="20"/>
        </w:rPr>
        <w:t xml:space="preserve">Corresponsables. (2016). Con 57 viñas certificadas, el Código de Sustentabilidad ya es un referente en Chile. https://www.corresponsables.com/chl/entrevistas/con-57-vinas-certificadas-el-codigo-de-sustentabilidad-ya-es-un-referente-en-chile/</w:t>
      </w:r>
    </w:p>
    <w:p>
      <w:pPr>
        <w:spacing w:after="120" w:line="276"/>
        <w:ind w:left="567" w:hanging="567"/>
      </w:pPr>
      <w:r>
        <w:rPr>
          <w:sz w:val="20"/>
          <w:szCs w:val="20"/>
        </w:rPr>
        <w:t xml:space="preserve">Hatch Mansfield. (s. f.). Viñedo Chadwick: Environmental responsibility. https://hatchmansfield.com/our-winemakers/vinedo-chadwick/environmental-responsibility</w:t>
      </w:r>
    </w:p>
    <w:p>
      <w:pPr>
        <w:spacing w:after="120" w:line="276"/>
        <w:ind w:left="567" w:hanging="567"/>
      </w:pPr>
      <w:r>
        <w:rPr>
          <w:sz w:val="20"/>
          <w:szCs w:val="20"/>
        </w:rPr>
        <w:t xml:space="preserve">Jorquera Jerez, K. N. (2025). EcoTrack [Proyecto de Diseño Gráfico, Duoc UC]. Premios DD 2025. https://diseno.duoc.cl/premiosdd/proyecto/ecotrack-2/</w:t>
      </w:r>
    </w:p>
    <w:p>
      <w:pPr>
        <w:spacing w:after="120" w:line="276"/>
        <w:ind w:left="567" w:hanging="567"/>
      </w:pPr>
      <w:r>
        <w:rPr>
          <w:sz w:val="20"/>
          <w:szCs w:val="20"/>
        </w:rPr>
        <w:t xml:space="preserve">Ley N.º 20.920. (2016). Establece marco para la gestión de residuos, la responsabilidad extendida del productor y fomento al reciclaje. Biblioteca del Congreso Nacional de Chile.</w:t>
      </w:r>
    </w:p>
    <w:p>
      <w:pPr>
        <w:spacing w:after="120" w:line="276"/>
        <w:ind w:left="567" w:hanging="567"/>
      </w:pPr>
      <w:r>
        <w:rPr>
          <w:sz w:val="20"/>
          <w:szCs w:val="20"/>
        </w:rPr>
        <w:t xml:space="preserve">OCDE y Eurostat. (2018). Oslo Manual 2018: Guidelines for collecting, reporting and using data on innovation (4.ª ed.). OECD Publishing. https://doi.org/10.1787/9789264304604-en</w:t>
      </w:r>
    </w:p>
    <w:p>
      <w:pPr>
        <w:spacing w:after="120" w:line="276"/>
        <w:ind w:left="567" w:hanging="567"/>
      </w:pPr>
      <w:r>
        <w:rPr>
          <w:sz w:val="20"/>
          <w:szCs w:val="20"/>
        </w:rPr>
        <w:t xml:space="preserve">Prieto Abogados. (2026). Ley REP: aplicación 2025 y lo que viene en 2026. https://www.prieto.cl/ley-rep-aplicacion-2025-y-lo-que-viene-en-2026/</w:t>
      </w:r>
    </w:p>
    <w:p>
      <w:pPr>
        <w:spacing w:after="120" w:line="276"/>
        <w:ind w:left="567" w:hanging="567"/>
      </w:pPr>
      <w:r>
        <w:rPr>
          <w:sz w:val="20"/>
          <w:szCs w:val="20"/>
        </w:rPr>
        <w:t xml:space="preserve">Reciclapp. (s. f.). App Reciclapp. https://somosreciclapp.com/app/</w:t>
      </w:r>
    </w:p>
    <w:p>
      <w:pPr>
        <w:spacing w:after="120" w:line="276"/>
        <w:ind w:left="567" w:hanging="567"/>
      </w:pPr>
      <w:r>
        <w:rPr>
          <w:sz w:val="20"/>
          <w:szCs w:val="20"/>
        </w:rPr>
        <w:t xml:space="preserve">ReSimple. (s. f.). Ley REP. https://resimple.cl/nosotros/ley-rep/</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0"/>
      </w:tabs>
    </w:pPr>
    <w:r>
      <w:rPr>
        <w:color w:val="5F6B63"/>
        <w:sz w:val="16"/>
        <w:szCs w:val="16"/>
      </w:rPr>
      <w:t xml:space="preserve">RecyTrack · Justificación de la innovación</w:t>
    </w:r>
    <w:r>
      <w:t xml:space="preserv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5C3A"/>
      <w:sz w:val="28"/>
      <w:szCs w:val="28"/>
    </w:rPr>
  </w:style>
  <w:style w:type="paragraph" w:styleId="Heading2">
    <w:name w:val="Heading 2"/>
    <w:basedOn w:val="Normal"/>
    <w:next w:val="Normal"/>
    <w:qFormat/>
    <w:pPr>
      <w:spacing w:after="100" w:before="220"/>
      <w:outlineLvl w:val="1"/>
    </w:pPr>
    <w:rPr>
      <w:b/>
      <w:bCs/>
      <w:color w:val="1F5C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 la innovación — RecyTrack</dc:title>
  <dc:creator>Equipo RecyTrack</dc:creator>
  <cp:lastModifiedBy>Un-named</cp:lastModifiedBy>
  <cp:revision>1</cp:revision>
  <dcterms:created xsi:type="dcterms:W3CDTF">2026-10-12T23:02:08.658Z</dcterms:created>
  <dcterms:modified xsi:type="dcterms:W3CDTF">2026-10-12T23:02:08.668Z</dcterms:modified>
</cp:coreProperties>
</file>

<file path=docProps/custom.xml><?xml version="1.0" encoding="utf-8"?>
<Properties xmlns="http://schemas.openxmlformats.org/officeDocument/2006/custom-properties" xmlns:vt="http://schemas.openxmlformats.org/officeDocument/2006/docPropsVTypes"/>
</file>