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p>
            <w:r>
              <w:rPr>
                <w:b/>
                <w:color w:val="000000" w:themeColor="text1"/>
              </w:rPr>
              <w:t xml:space="preserve">Presente en mi propuesta: Sí. Casos de prueba del Sprint 2 redactados desde los criterios de aceptación; en mi PR (#38) agregué los tests del ranking de áreas y de los contenedores por retirar.</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p>
            <w:r>
              <w:rPr>
                <w:b/>
                <w:color w:val="000000" w:themeColor="text1"/>
              </w:rPr>
              <w:t xml:space="preserve">Presente en mi propuesta: Sí. 196 pruebas de las reglas contra el emulador y 146 de la lógica de la app, todas aprobadas. Mi PR pasó la compilación y los tests; quedan casos por ejecutar desde el teléfono.</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p>
          <w:p>
            <w:r>
              <w:rPr>
                <w:b/>
                <w:color w:val="000000" w:themeColor="text1"/>
              </w:rPr>
              <w:t xml:space="preserve">Presente en mi propuesta: Sí. El arreglo del caché salió de detectar que el iPhone mostraba la versión vieja (PR #37), y el error del código del retiro se corrigió al probarlo contra las reglas (PR #47).</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p>
          <w:p>
            <w:r>
              <w:rPr>
                <w:b/>
                <w:color w:val="000000" w:themeColor="text1"/>
              </w:rPr>
              <w:t xml:space="preserve">Presente en mi propuesta: Sí. Product Backlog, Sprint Backlog y plan de trabajo con sprints de dos semanas; mi issue (#28) se dividió en casillas, con un commit por casilla.</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p>
            <w:r>
              <w:rPr>
                <w:b/>
                <w:color w:val="000000" w:themeColor="text1"/>
              </w:rPr>
              <w:t xml:space="preserve">Presente en mi propuesta: Sí, con retraso. Burndown, estado de cada actividad y retrospectiva del Sprint 2; mi tarea pendiente (T2-11) quedó registrada y pasó al Sprint 3.</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p>
            <w:r>
              <w:rPr>
                <w:b/>
                <w:color w:val="000000" w:themeColor="text1"/>
              </w:rPr>
              <w:t xml:space="preserve">Presente en mi propuesta: Sí. Modelo de planta, áreas, contenedores, depósitos, retiros, resúmenes del mes por área y participaciones, pensado según las consultas de cada rol y la privacidad.</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p>
            <w:r>
              <w:rPr>
                <w:b/>
                <w:color w:val="000000" w:themeColor="text1"/>
              </w:rPr>
              <w:t xml:space="preserve">Presente en mi propuesta: Sí. Tipos y servicios en Cloud Firestore (PR #38), con lotes atómicos para el depósito y su resumen, y para el retiro y la certificación, protegidos por reglas probadas.</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p>
            <w:r>
              <w:rPr>
                <w:b/>
                <w:color w:val="000000" w:themeColor="text1"/>
              </w:rPr>
              <w:t xml:space="preserve">Presente en mi propuesta: Sí. App con los tres roles (colaborador, validador y administrador) y panel web del administrador.</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p>
            <w:r>
              <w:rPr>
                <w:b/>
                <w:color w:val="000000" w:themeColor="text1"/>
              </w:rPr>
              <w:t xml:space="preserve">Presente en mi propuesta: Sí. App, Firebase Authentication (correo, Google y Microsoft), Cloud Firestore y Firebase Hosting; el estado global conecta los servicios con las pantallas.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p>
            <w:r>
              <w:rPr>
                <w:b/>
                <w:color w:val="000000" w:themeColor="text1"/>
              </w:rPr>
              <w:t xml:space="preserve">Presente en mi propuesta: Sí. Publicada como aplicación web instalable en Firebase Hosting, sin caché en la página de inicio para que cada versión llegue al instante (PR #37); falta implantarla en la planta durante el piloto.</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p>
            <w:pPr>
              <w:jc w:val="center"/>
            </w:pPr>
            <w:r>
              <w:rPr>
                <w:b/>
                <w:bCs/>
                <w:sz w:val="22"/>
                <w:szCs w:val="22"/>
              </w:rPr>
              <w:t>X</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p>
          <w:p>
            <w:pPr>
              <w:jc w:val="center"/>
            </w:pPr>
            <w:r>
              <w:rPr>
                <w:b/>
                <w:bCs/>
                <w:sz w:val="22"/>
                <w:szCs w:val="22"/>
              </w:rPr>
              <w:t>X</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p>
            <w:pPr>
              <w:jc w:val="center"/>
            </w:pPr>
            <w:r>
              <w:rPr>
                <w:b/>
                <w:bCs/>
                <w:sz w:val="22"/>
                <w:szCs w:val="22"/>
              </w:rPr>
              <w:t>X</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lenguaje técnico de </w:t>
            </w:r>
            <w:r w:rsidRPr="3BD34F3F" w:rsidR="4D451EB0">
              <w:rPr>
                <w:rFonts w:asciiTheme="minorHAnsi" w:hAnsiTheme="minorHAnsi" w:eastAsiaTheme="minorEastAsia" w:cstheme="minorBidi"/>
                <w:color w:val="000000" w:themeColor="text1"/>
              </w:rPr>
              <w:t>mi</w:t>
            </w:r>
            <w:r w:rsidRPr="3BD34F3F">
              <w:rPr>
                <w:rFonts w:asciiTheme="minorHAnsi" w:hAnsiTheme="minorHAnsi" w:eastAsiaTheme="minorEastAsia" w:cstheme="minorBidi"/>
                <w:color w:val="000000" w:themeColor="text1"/>
              </w:rPr>
              <w:t xml:space="preserve"> disciplina siempre de manera precisa. </w:t>
            </w:r>
          </w:p>
          <w:p>
            <w:pPr>
              <w:jc w:val="center"/>
            </w:pPr>
            <w:r>
              <w:rPr>
                <w:b/>
                <w:bCs/>
                <w:sz w:val="22"/>
                <w:szCs w:val="22"/>
              </w:rPr>
              <w:t>X</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rPr>
              <w:t>.</w:t>
            </w:r>
          </w:p>
          <w:p>
            <w:pPr>
              <w:jc w:val="center"/>
            </w:pPr>
            <w:r>
              <w:rPr>
                <w:b/>
                <w:bCs/>
                <w:sz w:val="22"/>
                <w:szCs w:val="22"/>
              </w:rPr>
              <w:t>X</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todos los aspectos del formato establecido por la disciplin</w:t>
            </w:r>
            <w:r w:rsidRPr="3BD34F3F" w:rsidR="43AE4239">
              <w:rPr>
                <w:rFonts w:asciiTheme="minorHAnsi" w:hAnsiTheme="minorHAnsi" w:eastAsiaTheme="minorEastAsia" w:cstheme="minorBidi"/>
                <w:color w:val="000000" w:themeColor="text1"/>
              </w:rPr>
              <w:t>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p>
            <w:pPr>
              <w:jc w:val="center"/>
            </w:pPr>
            <w:r>
              <w:rPr>
                <w:b/>
                <w:bCs/>
                <w:sz w:val="22"/>
                <w:szCs w:val="22"/>
              </w:rPr>
              <w:t>X</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p>
            <w:pPr>
              <w:jc w:val="center"/>
            </w:pPr>
            <w:r>
              <w:rPr>
                <w:b/>
                <w:bCs/>
                <w:sz w:val="22"/>
                <w:szCs w:val="22"/>
              </w:rPr>
              <w:t>X</w:t>
            </w:r>
          </w:p>
        </w:tc>
        <w:tc>
          <w:tcPr>
            <w:tcW w:w="2415" w:type="dxa"/>
            <w:tcMar/>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pPr>
              <w:jc w:val="center"/>
            </w:pPr>
            <w:r>
              <w:rPr>
                <w:b/>
                <w:bCs/>
                <w:sz w:val="22"/>
                <w:szCs w:val="22"/>
              </w:rPr>
              <w:t>X</w:t>
            </w: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