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043C8" w14:textId="5A1314D9" w:rsidR="00041AEC" w:rsidRDefault="00041AEC" w:rsidP="006F2F3F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UM</w:t>
      </w:r>
    </w:p>
    <w:p w14:paraId="0BA67D7F" w14:textId="69A37E46" w:rsidR="00041AEC" w:rsidRDefault="00041AEC" w:rsidP="006F2F3F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CASLAN 2024 </w:t>
      </w:r>
    </w:p>
    <w:p w14:paraId="11F63083" w14:textId="77777777" w:rsidR="00041AEC" w:rsidRDefault="00041AEC" w:rsidP="00041AEC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195A37">
        <w:rPr>
          <w:rFonts w:ascii="Calibri" w:hAnsi="Calibri" w:cs="Calibri"/>
          <w:b/>
          <w:bCs/>
          <w:sz w:val="24"/>
          <w:szCs w:val="24"/>
        </w:rPr>
        <w:t>“Nutrición, Ciencia y Tecnología Alimentaria, para una vida más saludable.”</w:t>
      </w:r>
    </w:p>
    <w:p w14:paraId="128B45A2" w14:textId="54A1481E" w:rsidR="00041AEC" w:rsidRDefault="00041AEC" w:rsidP="00041AEC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14 y 15 DE NOVIEMBRE DEL 2024 </w:t>
      </w:r>
    </w:p>
    <w:p w14:paraId="67E46A06" w14:textId="49677365" w:rsidR="00041AEC" w:rsidRPr="00041AEC" w:rsidRDefault="00041AEC" w:rsidP="00041AEC">
      <w:pPr>
        <w:jc w:val="center"/>
        <w:rPr>
          <w:rFonts w:ascii="Calibri" w:hAnsi="Calibri" w:cs="Calibri"/>
          <w:b/>
          <w:bCs/>
        </w:rPr>
      </w:pPr>
      <w:r w:rsidRPr="00041AEC">
        <w:rPr>
          <w:rFonts w:ascii="Calibri" w:hAnsi="Calibri" w:cs="Calibri"/>
          <w:b/>
          <w:bCs/>
        </w:rPr>
        <w:t>VIRTUAL Y PRESENCIAL SEDE C</w:t>
      </w:r>
      <w:r>
        <w:rPr>
          <w:rFonts w:ascii="Calibri" w:hAnsi="Calibri" w:cs="Calibri"/>
          <w:b/>
          <w:bCs/>
        </w:rPr>
        <w:t xml:space="preserve">ABA </w:t>
      </w:r>
      <w:r w:rsidRPr="00041AEC">
        <w:rPr>
          <w:rFonts w:ascii="Calibri" w:hAnsi="Calibri" w:cs="Calibri"/>
          <w:b/>
          <w:bCs/>
        </w:rPr>
        <w:t>LIMA 221</w:t>
      </w:r>
    </w:p>
    <w:p w14:paraId="15118B0D" w14:textId="44BAFBB0" w:rsidR="00041AEC" w:rsidRDefault="00041AEC" w:rsidP="006F2F3F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UNIVERSIDAD DE MORON </w:t>
      </w:r>
    </w:p>
    <w:p w14:paraId="0187C904" w14:textId="77777777" w:rsidR="00041AEC" w:rsidRDefault="00041AEC" w:rsidP="006F2F3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44312A1" w14:textId="4C7BD33D" w:rsidR="00041AEC" w:rsidRDefault="00041AEC" w:rsidP="006F2F3F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SOBRE EL CONGRESO </w:t>
      </w:r>
    </w:p>
    <w:p w14:paraId="130414BF" w14:textId="77777777" w:rsidR="00041AEC" w:rsidRDefault="00041AEC" w:rsidP="006F2F3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49739DF4" w14:textId="59C1369B" w:rsidR="00041AEC" w:rsidRDefault="004E7368" w:rsidP="00041AEC">
      <w:pPr>
        <w:jc w:val="both"/>
        <w:rPr>
          <w:rFonts w:ascii="Calibri" w:hAnsi="Calibri" w:cs="Calibri"/>
          <w:sz w:val="24"/>
          <w:szCs w:val="24"/>
        </w:rPr>
      </w:pPr>
      <w:r w:rsidRPr="00041AEC">
        <w:rPr>
          <w:rFonts w:ascii="Calibri" w:hAnsi="Calibri" w:cs="Calibri"/>
          <w:sz w:val="24"/>
          <w:szCs w:val="24"/>
        </w:rPr>
        <w:t>“X</w:t>
      </w:r>
      <w:r w:rsidR="006F2F3F" w:rsidRPr="00041AEC">
        <w:rPr>
          <w:rFonts w:ascii="Calibri" w:hAnsi="Calibri" w:cs="Calibri"/>
          <w:sz w:val="24"/>
          <w:szCs w:val="24"/>
        </w:rPr>
        <w:t>I</w:t>
      </w:r>
      <w:r w:rsidRPr="00041AEC">
        <w:rPr>
          <w:rFonts w:ascii="Calibri" w:hAnsi="Calibri" w:cs="Calibri"/>
          <w:sz w:val="24"/>
          <w:szCs w:val="24"/>
        </w:rPr>
        <w:t xml:space="preserve"> Congreso de Aliment</w:t>
      </w:r>
      <w:r w:rsidR="006F2F3F" w:rsidRPr="00041AEC">
        <w:rPr>
          <w:rFonts w:ascii="Calibri" w:hAnsi="Calibri" w:cs="Calibri"/>
          <w:sz w:val="24"/>
          <w:szCs w:val="24"/>
        </w:rPr>
        <w:t xml:space="preserve">ación </w:t>
      </w:r>
      <w:r w:rsidRPr="00041AEC">
        <w:rPr>
          <w:rFonts w:ascii="Calibri" w:hAnsi="Calibri" w:cs="Calibri"/>
          <w:sz w:val="24"/>
          <w:szCs w:val="24"/>
        </w:rPr>
        <w:t>Siglo XXI: ALIMENTOS, NUTRICIÓN Y SALUD”, y la “XLV Reunión del Capítulo Argentino de la Sociedad Latinoamericana de Nutrición (CASLAN)”</w:t>
      </w:r>
      <w:r w:rsidR="00041AEC" w:rsidRPr="00041AEC">
        <w:rPr>
          <w:rFonts w:ascii="Calibri" w:hAnsi="Calibri" w:cs="Calibri"/>
          <w:sz w:val="24"/>
          <w:szCs w:val="24"/>
        </w:rPr>
        <w:t xml:space="preserve"> </w:t>
      </w:r>
      <w:r w:rsidR="00041AEC" w:rsidRPr="00C7417F">
        <w:rPr>
          <w:rFonts w:ascii="Calibri" w:hAnsi="Calibri" w:cs="Calibri"/>
          <w:sz w:val="24"/>
          <w:szCs w:val="24"/>
        </w:rPr>
        <w:t xml:space="preserve">bajo el lema </w:t>
      </w:r>
      <w:r w:rsidR="00041AEC" w:rsidRPr="00041AEC">
        <w:rPr>
          <w:rFonts w:ascii="Calibri" w:hAnsi="Calibri" w:cs="Calibri"/>
          <w:b/>
          <w:bCs/>
          <w:sz w:val="24"/>
          <w:szCs w:val="24"/>
        </w:rPr>
        <w:t>“NUTRICIÓN, CIENCIA Y TECNOLOGÍA ALIMENTARIA PARA UNA VIDA MAS SALUDABLE”</w:t>
      </w:r>
      <w:r w:rsidR="00041AEC">
        <w:rPr>
          <w:rFonts w:ascii="Calibri" w:hAnsi="Calibri" w:cs="Calibri"/>
          <w:sz w:val="24"/>
          <w:szCs w:val="24"/>
        </w:rPr>
        <w:t xml:space="preserve"> </w:t>
      </w:r>
      <w:r w:rsidR="00041AEC" w:rsidRPr="00C7417F">
        <w:rPr>
          <w:rFonts w:ascii="Calibri" w:hAnsi="Calibri" w:cs="Calibri"/>
          <w:sz w:val="24"/>
          <w:szCs w:val="24"/>
        </w:rPr>
        <w:t>Este Congreso tiene como finalidad poner en discusión los recientes avances en materia de ciencias</w:t>
      </w:r>
      <w:r w:rsidR="00041AEC">
        <w:rPr>
          <w:rFonts w:ascii="Calibri" w:hAnsi="Calibri" w:cs="Calibri"/>
          <w:sz w:val="24"/>
          <w:szCs w:val="24"/>
        </w:rPr>
        <w:t xml:space="preserve">, </w:t>
      </w:r>
      <w:r w:rsidR="00041AEC" w:rsidRPr="00C7417F">
        <w:rPr>
          <w:rFonts w:ascii="Calibri" w:hAnsi="Calibri" w:cs="Calibri"/>
          <w:sz w:val="24"/>
          <w:szCs w:val="24"/>
        </w:rPr>
        <w:t>permitiendo la convergencia de áreas del conocimiento relacionadas con la nutrición, la salud y los alimentos, brindando así un espacio de encuentro de saberes, de intercambio de experiencias y de discusión a profesionales, docentes, investigadores, becarios y alumnos de universidades e instituciones argentinas.</w:t>
      </w:r>
      <w:r w:rsidR="00041AEC" w:rsidRPr="00AF2885">
        <w:t xml:space="preserve"> </w:t>
      </w:r>
      <w:r w:rsidR="00041AEC" w:rsidRPr="00AF2885">
        <w:rPr>
          <w:rFonts w:ascii="Calibri" w:hAnsi="Calibri" w:cs="Calibri"/>
          <w:sz w:val="24"/>
          <w:szCs w:val="24"/>
        </w:rPr>
        <w:t>La Sociedad Latinoamericana de Nutrición “SLAN” fue creada la finalidad de integrar los esfuerzos de profesionales calificados para</w:t>
      </w:r>
      <w:r w:rsidR="00041AEC">
        <w:rPr>
          <w:rFonts w:ascii="Calibri" w:hAnsi="Calibri" w:cs="Calibri"/>
          <w:sz w:val="24"/>
          <w:szCs w:val="24"/>
        </w:rPr>
        <w:t xml:space="preserve"> </w:t>
      </w:r>
      <w:r w:rsidR="00041AEC" w:rsidRPr="00AF2885">
        <w:rPr>
          <w:rFonts w:ascii="Calibri" w:hAnsi="Calibri" w:cs="Calibri"/>
          <w:sz w:val="24"/>
          <w:szCs w:val="24"/>
        </w:rPr>
        <w:t xml:space="preserve">promover y mejorar el conocimiento de los problemas nutricionales de los países de la región y de las alternativas de prevención y tratamiento que ofrece la Nutrición como Ciencia. </w:t>
      </w:r>
      <w:r w:rsidR="00041AEC">
        <w:rPr>
          <w:rFonts w:ascii="Calibri" w:hAnsi="Calibri" w:cs="Calibri"/>
          <w:sz w:val="24"/>
          <w:szCs w:val="24"/>
        </w:rPr>
        <w:t xml:space="preserve"> Uno de los objetivos es promover</w:t>
      </w:r>
      <w:r w:rsidR="00041AEC" w:rsidRPr="00AF2885">
        <w:rPr>
          <w:rFonts w:ascii="Calibri" w:hAnsi="Calibri" w:cs="Calibri"/>
          <w:sz w:val="24"/>
          <w:szCs w:val="24"/>
        </w:rPr>
        <w:t xml:space="preserve"> el mejoramiento de la nutrición y la alimentación en la República Argentina y, a través de sus relaciones con la SLAN, en el </w:t>
      </w:r>
      <w:r w:rsidR="00723959">
        <w:rPr>
          <w:rFonts w:ascii="Calibri" w:hAnsi="Calibri" w:cs="Calibri"/>
          <w:sz w:val="24"/>
          <w:szCs w:val="24"/>
        </w:rPr>
        <w:t>hemisferio americano</w:t>
      </w:r>
      <w:r w:rsidR="00041AEC" w:rsidRPr="00AF2885">
        <w:rPr>
          <w:rFonts w:ascii="Calibri" w:hAnsi="Calibri" w:cs="Calibri"/>
          <w:sz w:val="24"/>
          <w:szCs w:val="24"/>
        </w:rPr>
        <w:t>.</w:t>
      </w:r>
      <w:r w:rsidR="00041AEC" w:rsidRPr="00AF2885">
        <w:t xml:space="preserve"> </w:t>
      </w:r>
      <w:r w:rsidR="00041AEC" w:rsidRPr="00AF2885">
        <w:rPr>
          <w:rFonts w:ascii="Calibri" w:hAnsi="Calibri" w:cs="Calibri"/>
          <w:sz w:val="24"/>
          <w:szCs w:val="24"/>
        </w:rPr>
        <w:t>Fortalecer el contacto entre los profesionales del país.</w:t>
      </w:r>
      <w:r w:rsidR="00041AEC">
        <w:rPr>
          <w:rFonts w:ascii="Calibri" w:hAnsi="Calibri" w:cs="Calibri"/>
          <w:sz w:val="24"/>
          <w:szCs w:val="24"/>
        </w:rPr>
        <w:t xml:space="preserve"> </w:t>
      </w:r>
      <w:r w:rsidR="00041AEC" w:rsidRPr="00AF2885">
        <w:rPr>
          <w:rFonts w:ascii="Calibri" w:hAnsi="Calibri" w:cs="Calibri"/>
          <w:sz w:val="24"/>
          <w:szCs w:val="24"/>
        </w:rPr>
        <w:t>Favorecer la capacitación técnica y científica de sus miembros.</w:t>
      </w:r>
      <w:r w:rsidR="00ED725D">
        <w:rPr>
          <w:rFonts w:ascii="Calibri" w:hAnsi="Calibri" w:cs="Calibri"/>
          <w:sz w:val="24"/>
          <w:szCs w:val="24"/>
        </w:rPr>
        <w:t xml:space="preserve"> </w:t>
      </w:r>
      <w:r w:rsidR="00041AEC" w:rsidRPr="00AF2885">
        <w:rPr>
          <w:rFonts w:ascii="Calibri" w:hAnsi="Calibri" w:cs="Calibri"/>
          <w:sz w:val="24"/>
          <w:szCs w:val="24"/>
        </w:rPr>
        <w:t>Fomentar y estrechar las relaciones con otras organizaciones profesionales y científicas e instituciones vinculadas con la nutrición y ciencias afines.</w:t>
      </w:r>
      <w:r w:rsidR="00041AEC">
        <w:rPr>
          <w:rFonts w:ascii="Calibri" w:hAnsi="Calibri" w:cs="Calibri"/>
          <w:sz w:val="24"/>
          <w:szCs w:val="24"/>
        </w:rPr>
        <w:t xml:space="preserve"> </w:t>
      </w:r>
      <w:r w:rsidR="00041AEC" w:rsidRPr="00AF2885">
        <w:rPr>
          <w:rFonts w:ascii="Calibri" w:hAnsi="Calibri" w:cs="Calibri"/>
          <w:sz w:val="24"/>
          <w:szCs w:val="24"/>
        </w:rPr>
        <w:t>Participar activamente en las actividades de ARGENFOOD (Capítulo Nacional de LATINFOOD), del cual la mayoría de nuestros socios participan como   integrantes de las distintas comisiones directivas.</w:t>
      </w:r>
      <w:r w:rsidR="00ED725D">
        <w:rPr>
          <w:rFonts w:ascii="Calibri" w:hAnsi="Calibri" w:cs="Calibri"/>
          <w:sz w:val="24"/>
          <w:szCs w:val="24"/>
        </w:rPr>
        <w:t xml:space="preserve"> </w:t>
      </w:r>
      <w:r w:rsidR="00041AEC" w:rsidRPr="00AF2885">
        <w:rPr>
          <w:rFonts w:ascii="Calibri" w:hAnsi="Calibri" w:cs="Calibri"/>
          <w:sz w:val="24"/>
          <w:szCs w:val="24"/>
        </w:rPr>
        <w:t>Para este nuevo encuentro 2024, hemos tenido el honor de ser l</w:t>
      </w:r>
      <w:r w:rsidR="00041AEC">
        <w:rPr>
          <w:rFonts w:ascii="Calibri" w:hAnsi="Calibri" w:cs="Calibri"/>
          <w:sz w:val="24"/>
          <w:szCs w:val="24"/>
        </w:rPr>
        <w:t>a</w:t>
      </w:r>
      <w:r w:rsidR="00041AEC" w:rsidRPr="00AF2885">
        <w:rPr>
          <w:rFonts w:ascii="Calibri" w:hAnsi="Calibri" w:cs="Calibri"/>
          <w:sz w:val="24"/>
          <w:szCs w:val="24"/>
        </w:rPr>
        <w:t xml:space="preserve"> universidad privada seleccionada como sede organizadora</w:t>
      </w:r>
      <w:r w:rsidR="00041AEC">
        <w:rPr>
          <w:rFonts w:ascii="Calibri" w:hAnsi="Calibri" w:cs="Calibri"/>
          <w:sz w:val="24"/>
          <w:szCs w:val="24"/>
        </w:rPr>
        <w:t>.</w:t>
      </w:r>
    </w:p>
    <w:p w14:paraId="7B4599C6" w14:textId="5329FAD6" w:rsidR="00041AEC" w:rsidRPr="00C7417F" w:rsidRDefault="00041AEC" w:rsidP="00041AEC">
      <w:pPr>
        <w:jc w:val="both"/>
        <w:rPr>
          <w:rFonts w:ascii="Calibri" w:hAnsi="Calibri" w:cs="Calibri"/>
          <w:sz w:val="24"/>
          <w:szCs w:val="24"/>
        </w:rPr>
      </w:pPr>
      <w:r w:rsidRPr="00C7417F">
        <w:rPr>
          <w:rFonts w:ascii="Calibri" w:hAnsi="Calibri" w:cs="Calibri"/>
          <w:sz w:val="24"/>
          <w:szCs w:val="24"/>
        </w:rPr>
        <w:t xml:space="preserve">Los ejes temáticos a ser abordados y que resultarán de interés para los participantes </w:t>
      </w:r>
      <w:r>
        <w:rPr>
          <w:rFonts w:ascii="Calibri" w:hAnsi="Calibri" w:cs="Calibri"/>
          <w:sz w:val="24"/>
          <w:szCs w:val="24"/>
        </w:rPr>
        <w:t xml:space="preserve">los ejes </w:t>
      </w:r>
      <w:r w:rsidRPr="00C7417F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erán</w:t>
      </w:r>
      <w:r w:rsidRPr="00C7417F">
        <w:rPr>
          <w:rFonts w:ascii="Calibri" w:hAnsi="Calibri" w:cs="Calibri"/>
          <w:sz w:val="24"/>
          <w:szCs w:val="24"/>
        </w:rPr>
        <w:t>:</w:t>
      </w:r>
    </w:p>
    <w:p w14:paraId="38292BEE" w14:textId="77777777" w:rsidR="00041AEC" w:rsidRPr="00F23883" w:rsidRDefault="00041AEC" w:rsidP="00041AEC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F23883">
        <w:rPr>
          <w:rFonts w:ascii="Calibri" w:hAnsi="Calibri" w:cs="Calibri"/>
          <w:b/>
          <w:bCs/>
          <w:sz w:val="24"/>
          <w:szCs w:val="24"/>
        </w:rPr>
        <w:t>Nutrición y Salud</w:t>
      </w:r>
    </w:p>
    <w:p w14:paraId="1E870BA0" w14:textId="77777777" w:rsidR="00041AEC" w:rsidRPr="00F23883" w:rsidRDefault="00041AEC" w:rsidP="00041AEC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F23883">
        <w:rPr>
          <w:rFonts w:ascii="Calibri" w:hAnsi="Calibri" w:cs="Calibri"/>
          <w:b/>
          <w:bCs/>
          <w:sz w:val="24"/>
          <w:szCs w:val="24"/>
        </w:rPr>
        <w:t xml:space="preserve">Alimentos </w:t>
      </w:r>
    </w:p>
    <w:p w14:paraId="3DD5BB83" w14:textId="77777777" w:rsidR="00041AEC" w:rsidRPr="00F23883" w:rsidRDefault="00041AEC" w:rsidP="00041AEC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F23883">
        <w:rPr>
          <w:rFonts w:ascii="Calibri" w:hAnsi="Calibri" w:cs="Calibri"/>
          <w:b/>
          <w:bCs/>
          <w:sz w:val="24"/>
          <w:szCs w:val="24"/>
        </w:rPr>
        <w:t xml:space="preserve">Tecnología alimentaria </w:t>
      </w:r>
    </w:p>
    <w:p w14:paraId="1E5297C2" w14:textId="4B8767E2" w:rsidR="000C5129" w:rsidRPr="00195A37" w:rsidRDefault="000C5129" w:rsidP="006F2F3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2F11FD99" w14:textId="597CB859" w:rsidR="00F23883" w:rsidRDefault="00195A37" w:rsidP="006F2F3F">
      <w:pPr>
        <w:rPr>
          <w:rFonts w:ascii="Calibri" w:hAnsi="Calibri" w:cs="Calibri"/>
          <w:b/>
          <w:bCs/>
          <w:sz w:val="24"/>
          <w:szCs w:val="24"/>
        </w:rPr>
      </w:pPr>
      <w:r w:rsidRPr="00195A37">
        <w:rPr>
          <w:rFonts w:ascii="Calibri" w:hAnsi="Calibri" w:cs="Calibri"/>
          <w:b/>
          <w:bCs/>
          <w:sz w:val="24"/>
          <w:szCs w:val="24"/>
        </w:rPr>
        <w:t xml:space="preserve">     </w:t>
      </w:r>
    </w:p>
    <w:p w14:paraId="5507ECED" w14:textId="77777777" w:rsidR="00ED725D" w:rsidRDefault="00ED725D" w:rsidP="006F2F3F">
      <w:pPr>
        <w:rPr>
          <w:rFonts w:ascii="Calibri" w:hAnsi="Calibri" w:cs="Calibri"/>
          <w:b/>
          <w:bCs/>
          <w:sz w:val="24"/>
          <w:szCs w:val="24"/>
        </w:rPr>
      </w:pPr>
    </w:p>
    <w:p w14:paraId="6C21492B" w14:textId="6D85AE00" w:rsidR="00ED725D" w:rsidRDefault="00ED725D" w:rsidP="006F2F3F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Cronograma e inscripciones </w:t>
      </w:r>
    </w:p>
    <w:p w14:paraId="1BC498AE" w14:textId="77777777" w:rsidR="00ED725D" w:rsidRDefault="00ED725D" w:rsidP="00ED725D">
      <w:pPr>
        <w:jc w:val="both"/>
        <w:rPr>
          <w:rFonts w:ascii="Calibri" w:hAnsi="Calibri" w:cs="Calibri"/>
          <w:sz w:val="24"/>
          <w:szCs w:val="24"/>
        </w:rPr>
      </w:pPr>
      <w:r w:rsidRPr="00695DDF">
        <w:rPr>
          <w:rFonts w:ascii="Calibri" w:hAnsi="Calibri" w:cs="Calibri"/>
          <w:sz w:val="24"/>
          <w:szCs w:val="24"/>
        </w:rPr>
        <w:t>Aranceles y modalidad de 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8"/>
        <w:gridCol w:w="1559"/>
        <w:gridCol w:w="2124"/>
        <w:gridCol w:w="1983"/>
      </w:tblGrid>
      <w:tr w:rsidR="00ED725D" w14:paraId="614EABE8" w14:textId="77777777" w:rsidTr="00ED725D">
        <w:tc>
          <w:tcPr>
            <w:tcW w:w="2828" w:type="dxa"/>
          </w:tcPr>
          <w:p w14:paraId="602212B1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33F515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Hasta 30/6/24</w:t>
            </w:r>
          </w:p>
        </w:tc>
        <w:tc>
          <w:tcPr>
            <w:tcW w:w="2124" w:type="dxa"/>
          </w:tcPr>
          <w:p w14:paraId="624DE5DE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Hasta el 30/09/24</w:t>
            </w:r>
          </w:p>
        </w:tc>
        <w:tc>
          <w:tcPr>
            <w:tcW w:w="1983" w:type="dxa"/>
          </w:tcPr>
          <w:p w14:paraId="61785B2D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Desde 01/10/24</w:t>
            </w:r>
          </w:p>
        </w:tc>
      </w:tr>
      <w:tr w:rsidR="00ED725D" w14:paraId="59BE738C" w14:textId="77777777" w:rsidTr="00ED725D">
        <w:tc>
          <w:tcPr>
            <w:tcW w:w="2828" w:type="dxa"/>
          </w:tcPr>
          <w:p w14:paraId="2225C5F7" w14:textId="77777777" w:rsidR="00ED725D" w:rsidRDefault="00ED725D" w:rsidP="003B00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Socios CASLAN y Docentes Universidad de Morón</w:t>
            </w:r>
          </w:p>
        </w:tc>
        <w:tc>
          <w:tcPr>
            <w:tcW w:w="1559" w:type="dxa"/>
          </w:tcPr>
          <w:p w14:paraId="1E2850AD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9000</w:t>
            </w:r>
          </w:p>
        </w:tc>
        <w:tc>
          <w:tcPr>
            <w:tcW w:w="2124" w:type="dxa"/>
          </w:tcPr>
          <w:p w14:paraId="0BABBC51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10000</w:t>
            </w:r>
          </w:p>
        </w:tc>
        <w:tc>
          <w:tcPr>
            <w:tcW w:w="1983" w:type="dxa"/>
          </w:tcPr>
          <w:p w14:paraId="56641D22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12500</w:t>
            </w:r>
          </w:p>
        </w:tc>
      </w:tr>
      <w:tr w:rsidR="00ED725D" w14:paraId="1701BEF4" w14:textId="77777777" w:rsidTr="00ED725D">
        <w:tc>
          <w:tcPr>
            <w:tcW w:w="2828" w:type="dxa"/>
          </w:tcPr>
          <w:p w14:paraId="7A63A5A9" w14:textId="77777777" w:rsidR="00ED725D" w:rsidRDefault="00ED725D" w:rsidP="003B00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Profesionales e investigadores </w:t>
            </w:r>
          </w:p>
        </w:tc>
        <w:tc>
          <w:tcPr>
            <w:tcW w:w="1559" w:type="dxa"/>
          </w:tcPr>
          <w:p w14:paraId="5BD7427F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18000</w:t>
            </w:r>
          </w:p>
        </w:tc>
        <w:tc>
          <w:tcPr>
            <w:tcW w:w="2124" w:type="dxa"/>
          </w:tcPr>
          <w:p w14:paraId="6C1EF6F3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20000</w:t>
            </w:r>
          </w:p>
        </w:tc>
        <w:tc>
          <w:tcPr>
            <w:tcW w:w="1983" w:type="dxa"/>
          </w:tcPr>
          <w:p w14:paraId="7AF4A8EE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25000</w:t>
            </w:r>
          </w:p>
        </w:tc>
      </w:tr>
      <w:tr w:rsidR="00ED725D" w14:paraId="6AD5C848" w14:textId="77777777" w:rsidTr="00ED725D">
        <w:tc>
          <w:tcPr>
            <w:tcW w:w="2828" w:type="dxa"/>
          </w:tcPr>
          <w:p w14:paraId="3907604C" w14:textId="77777777" w:rsidR="00ED725D" w:rsidRDefault="00ED725D" w:rsidP="003B00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Docentes y profesionales residentes en el exterior </w:t>
            </w:r>
          </w:p>
        </w:tc>
        <w:tc>
          <w:tcPr>
            <w:tcW w:w="1559" w:type="dxa"/>
          </w:tcPr>
          <w:p w14:paraId="6B060C4A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95DDF">
              <w:rPr>
                <w:rFonts w:ascii="Calibri" w:hAnsi="Calibri" w:cs="Calibri"/>
                <w:sz w:val="24"/>
                <w:szCs w:val="24"/>
              </w:rPr>
              <w:t>USD 75</w:t>
            </w:r>
          </w:p>
        </w:tc>
        <w:tc>
          <w:tcPr>
            <w:tcW w:w="2124" w:type="dxa"/>
          </w:tcPr>
          <w:p w14:paraId="62125410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95DDF">
              <w:rPr>
                <w:rFonts w:ascii="Calibri" w:hAnsi="Calibri" w:cs="Calibri"/>
                <w:sz w:val="24"/>
                <w:szCs w:val="24"/>
              </w:rPr>
              <w:t>UDS</w:t>
            </w:r>
            <w:r>
              <w:rPr>
                <w:rFonts w:ascii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983" w:type="dxa"/>
          </w:tcPr>
          <w:p w14:paraId="742FDA47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USD 120</w:t>
            </w:r>
          </w:p>
        </w:tc>
      </w:tr>
      <w:tr w:rsidR="00ED725D" w14:paraId="42FED27A" w14:textId="77777777" w:rsidTr="00ED725D">
        <w:tc>
          <w:tcPr>
            <w:tcW w:w="2828" w:type="dxa"/>
          </w:tcPr>
          <w:p w14:paraId="267160FA" w14:textId="77777777" w:rsidR="00ED725D" w:rsidRDefault="00ED725D" w:rsidP="003B00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Alumnos de grado, posgrado y tesistas. </w:t>
            </w:r>
          </w:p>
        </w:tc>
        <w:tc>
          <w:tcPr>
            <w:tcW w:w="1559" w:type="dxa"/>
          </w:tcPr>
          <w:p w14:paraId="66A2232C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7000</w:t>
            </w:r>
          </w:p>
        </w:tc>
        <w:tc>
          <w:tcPr>
            <w:tcW w:w="2124" w:type="dxa"/>
          </w:tcPr>
          <w:p w14:paraId="752C2C58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8500</w:t>
            </w:r>
          </w:p>
        </w:tc>
        <w:tc>
          <w:tcPr>
            <w:tcW w:w="1983" w:type="dxa"/>
          </w:tcPr>
          <w:p w14:paraId="3AAE123F" w14:textId="77777777" w:rsidR="00ED725D" w:rsidRDefault="00ED725D" w:rsidP="003B0009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10000</w:t>
            </w:r>
          </w:p>
        </w:tc>
      </w:tr>
    </w:tbl>
    <w:p w14:paraId="37D15E48" w14:textId="21E11E11" w:rsidR="00ED725D" w:rsidRDefault="00ED725D" w:rsidP="00ED725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Informes e inscripción </w:t>
      </w:r>
      <w:hyperlink r:id="rId5" w:history="1">
        <w:r w:rsidRPr="00393FC0">
          <w:rPr>
            <w:rStyle w:val="Hipervnculo"/>
            <w:shd w:val="clear" w:color="auto" w:fill="FFFFFF"/>
          </w:rPr>
          <w:t>graduados@unimoron.edu.ar</w:t>
        </w:r>
      </w:hyperlink>
      <w:r>
        <w:rPr>
          <w:color w:val="000000"/>
          <w:shd w:val="clear" w:color="auto" w:fill="FFFFFF"/>
        </w:rPr>
        <w:t xml:space="preserve"> </w:t>
      </w:r>
    </w:p>
    <w:p w14:paraId="4E6BBF82" w14:textId="77777777" w:rsidR="00ED725D" w:rsidRDefault="00ED725D" w:rsidP="00ED725D">
      <w:pPr>
        <w:rPr>
          <w:color w:val="000000"/>
          <w:shd w:val="clear" w:color="auto" w:fill="FFFFFF"/>
        </w:rPr>
      </w:pPr>
    </w:p>
    <w:p w14:paraId="61337F6B" w14:textId="77777777" w:rsidR="00ED725D" w:rsidRDefault="00ED725D" w:rsidP="00ED725D">
      <w:pPr>
        <w:rPr>
          <w:color w:val="000000"/>
          <w:shd w:val="clear" w:color="auto" w:fill="FFFFFF"/>
        </w:rPr>
      </w:pPr>
    </w:p>
    <w:p w14:paraId="44DD791F" w14:textId="761ACD5D" w:rsidR="00ED725D" w:rsidRPr="00ED725D" w:rsidRDefault="00ED725D" w:rsidP="00ED725D">
      <w:pPr>
        <w:rPr>
          <w:b/>
          <w:bCs/>
          <w:color w:val="000000"/>
          <w:shd w:val="clear" w:color="auto" w:fill="FFFFFF"/>
        </w:rPr>
      </w:pPr>
      <w:r w:rsidRPr="00ED725D">
        <w:rPr>
          <w:b/>
          <w:bCs/>
          <w:color w:val="000000"/>
          <w:shd w:val="clear" w:color="auto" w:fill="FFFFFF"/>
        </w:rPr>
        <w:t xml:space="preserve">Envio de resúmenes </w:t>
      </w:r>
    </w:p>
    <w:p w14:paraId="7F7C7C30" w14:textId="77777777" w:rsidR="00ED725D" w:rsidRDefault="00ED725D" w:rsidP="00ED725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Fechas de recepción de resúmenes: 15 de setiembre de 2024. </w:t>
      </w:r>
    </w:p>
    <w:p w14:paraId="44E4A98E" w14:textId="2C1808FB" w:rsidR="00ED725D" w:rsidRDefault="00ED725D" w:rsidP="00ED725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Dirección de envio de resúmenes caslan2024um@gmail.com</w:t>
      </w:r>
    </w:p>
    <w:p w14:paraId="5B481C85" w14:textId="77777777" w:rsidR="00ED725D" w:rsidRPr="00195A37" w:rsidRDefault="00ED725D" w:rsidP="006F2F3F">
      <w:pPr>
        <w:rPr>
          <w:rFonts w:ascii="Calibri" w:hAnsi="Calibri" w:cs="Calibri"/>
          <w:b/>
          <w:bCs/>
          <w:sz w:val="24"/>
          <w:szCs w:val="24"/>
        </w:rPr>
      </w:pPr>
    </w:p>
    <w:p w14:paraId="01375842" w14:textId="77777777" w:rsidR="00195A37" w:rsidRDefault="00195A37" w:rsidP="006F2F3F"/>
    <w:sectPr w:rsidR="00195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57E6A"/>
    <w:multiLevelType w:val="hybridMultilevel"/>
    <w:tmpl w:val="1788FE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1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29"/>
    <w:rsid w:val="00041AEC"/>
    <w:rsid w:val="000C5129"/>
    <w:rsid w:val="00195A37"/>
    <w:rsid w:val="00354AA0"/>
    <w:rsid w:val="004E7368"/>
    <w:rsid w:val="006F2F3F"/>
    <w:rsid w:val="00723959"/>
    <w:rsid w:val="0081096C"/>
    <w:rsid w:val="00BE6E2F"/>
    <w:rsid w:val="00ED725D"/>
    <w:rsid w:val="00F2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7218"/>
  <w15:chartTrackingRefBased/>
  <w15:docId w15:val="{B81A5A32-8B83-4F91-B541-C6088D26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AEC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s"/>
      <w14:ligatures w14:val="none"/>
    </w:rPr>
  </w:style>
  <w:style w:type="table" w:styleId="Tablaconcuadrcula">
    <w:name w:val="Table Grid"/>
    <w:basedOn w:val="Tablanormal"/>
    <w:uiPriority w:val="39"/>
    <w:rsid w:val="00ED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72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7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duados@unimoron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 Noemí Coscarello</dc:creator>
  <cp:keywords/>
  <dc:description/>
  <cp:lastModifiedBy>Ethel Noemí Coscarello</cp:lastModifiedBy>
  <cp:revision>2</cp:revision>
  <dcterms:created xsi:type="dcterms:W3CDTF">2024-07-02T17:59:00Z</dcterms:created>
  <dcterms:modified xsi:type="dcterms:W3CDTF">2024-07-02T17:59:00Z</dcterms:modified>
</cp:coreProperties>
</file>