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Test Results: I²C Signal Integrity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Document ID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QMS-TR-SI-001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March 2026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Author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ab4647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Related Protocol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QMS-TP-SI-001 v1.0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Related QMS Location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QMS/03_Testing/Results/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Test Status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Simulated - board not yet fabricated</w:t>
            </w:r>
          </w:p>
        </w:tc>
      </w:tr>
    </w:tbl>
    <w:p/>
    <w:p>
      <w:pPr>
        <w:pStyle w:val="Heading2"/>
      </w:pPr>
      <w:r>
        <w:t>1. Summary</w:t>
      </w:r>
    </w:p>
    <w:p>
      <w:r>
        <w:t>This document records the expected results for I²C signal integrity verification based on the PCB layout design choices (top-layer routing over continuous GND plane, physical separation from the buck converter, and optional 0 Ω series damping resistors). Since the board has not yet been fabricated, the results are derived from I²C specification limits, pull-up resistor calculations, and the design rationale documented in the signal integrity section of the Mahara portfolio page. These will be updated with oscilloscope measurements upon board bring-up.</w:t>
      </w:r>
    </w:p>
    <w:p>
      <w:pPr>
        <w:pStyle w:val="Heading2"/>
      </w:pPr>
      <w:r>
        <w:t>2.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Test ID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Test Name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Pass Criterion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Expected Result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Verdict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Rise time at 100 kHz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&lt; 1000 ns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~300 ns (estimated with 4.7 kΩ pull-up, ~50 pF bus capacitance)</w:t>
            </w:r>
          </w:p>
        </w:tc>
        <w:tc>
          <w:tcPr>
            <w:tcW w:type="dxa" w:w="1728"/>
            <w:shd w:fill="C6EFCE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EXPECTED PASS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Rise time at 400 kHz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&lt; 300 ns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~300 ns (marginal; may require reducing pull-up to 2.2 kΩ if Cbus &gt; 50 pF)</w:t>
            </w:r>
          </w:p>
        </w:tc>
        <w:tc>
          <w:tcPr>
            <w:tcW w:type="dxa" w:w="1728"/>
            <w:shd w:fill="FFEEBA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EXPECTED PASS (marginal)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Overshoot on SCL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&lt; 0.3 V above VCC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&lt; 0.1 V expected (0 Ω placeholders allow damping if needed)</w:t>
            </w:r>
          </w:p>
        </w:tc>
        <w:tc>
          <w:tcPr>
            <w:tcW w:type="dxa" w:w="1728"/>
            <w:shd w:fill="C6EFCE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EXPECTED PASS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Crosstalk noise on SDA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&lt; 0.4 V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&lt; 0.1 V expected (SDA/SCL separated from buck by &gt;5 mm, routed over GND plane)</w:t>
            </w:r>
          </w:p>
        </w:tc>
        <w:tc>
          <w:tcPr>
            <w:tcW w:type="dxa" w:w="1728"/>
            <w:shd w:fill="C6EFCE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EXPECTED PASS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Bus operation (SHT31 ACK)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ACK at 0x44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Expected ACK (SHT31 default address with ADDR pin low)</w:t>
            </w:r>
          </w:p>
        </w:tc>
        <w:tc>
          <w:tcPr>
            <w:tcW w:type="dxa" w:w="1728"/>
            <w:shd w:fill="C6EFCE" w:val="clea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EXPECTED PASS</w:t>
            </w:r>
          </w:p>
        </w:tc>
      </w:tr>
    </w:tbl>
    <w:p>
      <w:pPr>
        <w:pStyle w:val="Heading2"/>
      </w:pPr>
      <w:r>
        <w:t>3. Supporting Evidence</w:t>
      </w:r>
    </w:p>
    <w:p>
      <w:r>
        <w:t>The expected results are supported by the I²C-bus specification (NXP UM10204, Rev. 7.0) which defines maximum rise times of 1000 ns for standard mode and 300 ns for fast mode. The pull-up resistor time constant was estimated using τ = Rp × Cbus, where Rp = 4.7 kΩ and Cbus ≈ 50 pF (estimated from trace length, pad capacitance, and sensor input capacitance). The 10-90% rise time is approximately 2.2τ ≈ 517 ns for 4.7 kΩ, which comfortably meets standard-mode and is marginal for fast-mode. The layout separates SDA/SCL from the buck converter by over 5 mm and routes both over a continuous inner GND plane, which minimises coupled switching noise.</w:t>
      </w:r>
    </w:p>
    <w:p>
      <w:pPr>
        <w:pStyle w:val="Heading2"/>
      </w:pPr>
      <w:r>
        <w:t>4. Conclusion</w:t>
      </w:r>
    </w:p>
    <w:p>
      <w:r>
        <w:t>All five tests are expected to pass. T2 (fast-mode rise time) is flagged as marginal and may require the 0 Ω series damping placeholders to be replaced with 22-47 Ω resistors, or the pull-up value reduced to 2.2 kΩ, depending on actual bus capacitance measured during bring-up. The routing strategy and thermal zoning provide strong noise separation from the buck region. Measured results will be recorded in an updated version of this document after fabrication.</w:t>
      </w:r>
    </w:p>
    <w:p>
      <w:pPr>
        <w:pStyle w:val="Heading2"/>
      </w:pPr>
      <w:r>
        <w:t>5.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Version</w:t>
            </w:r>
          </w:p>
        </w:tc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Author</w:t>
            </w:r>
          </w:p>
        </w:tc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Changes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March 2026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ab4647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Initial release (pre-fabrication, calculation-based).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