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400" w:after="200"/>
      </w:pPr>
    </w:p>
    <w:p>
      <w:pPr>
        <w:jc w:val="center"/>
        <w:spacing w:before="120" w:after="80"/>
      </w:pPr>
      <w:r>
        <w:drawing>
          <wp:inline xmlns:wp="http://schemas.openxmlformats.org/drawingml/2006/wordprocessingDrawing">
            <wp:extent cx="3400000" cy="850000"/>
            <wp:docPr id="1" name="Picture"/>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Logo"/>
                    <a:stretch>
                      <a:fillRect/>
                    </a:stretch>
                  </pic:blipFill>
                  <pic:spPr>
                    <a:xfrm>
                      <a:off x="0" y="0"/>
                      <a:ext cx="3400000" cy="850000"/>
                    </a:xfrm>
                    <a:prstGeom prst="rect">
                      <a:avLst/>
                    </a:prstGeom>
                  </pic:spPr>
                </pic:pic>
              </a:graphicData>
            </a:graphic>
          </wp:inline>
        </w:drawing>
      </w:r>
    </w:p>
    <w:p>
      <w:pPr>
        <w:spacing w:before="0" w:after="400" w:line="276" w:lineRule="auto"/>
      </w:pPr>
      <w:r>
        <w:rPr>
          <w:rFonts w:ascii="Segoe UI" w:hAnsi="Segoe UI"/>
          <w:sz w:val="22"/>
          <w:szCs w:val="22"/>
          <w:color w:val="334155"/>
        </w:rPr>
        <w:t xml:space="preserve"/>
      </w:r>
    </w:p>
    <w:p>
      <w:pPr>
        <w:jc w:val="center"/>
        <w:spacing w:before="0" w:after="120" w:line="276" w:lineRule="auto"/>
      </w:pPr>
      <w:r>
        <w:rPr>
          <w:rFonts w:ascii="Segoe UI" w:hAnsi="Segoe UI"/>
          <w:b/>
          <w:sz w:val="40"/>
          <w:szCs w:val="40"/>
          <w:color w:val="1E3A8A"/>
        </w:rPr>
        <w:t xml:space="preserve">SISTEMA DE GESTIÓN DE ÓRDENES Y PAGOS</w:t>
      </w:r>
    </w:p>
    <w:p>
      <w:pPr>
        <w:jc w:val="center"/>
        <w:spacing w:before="0" w:after="240" w:line="276" w:lineRule="auto"/>
      </w:pPr>
      <w:r>
        <w:rPr>
          <w:rFonts w:ascii="Segoe UI" w:hAnsi="Segoe UI"/>
          <w:b/>
          <w:sz w:val="28"/>
          <w:szCs w:val="28"/>
          <w:color w:val="0369A1"/>
        </w:rPr>
        <w:t xml:space="preserve">MANUAL DE USUARIO Y GUÍA DE OPERACIONES</w:t>
      </w:r>
    </w:p>
    <w:p>
      <w:pPr>
        <w:jc w:val="center"/>
        <w:spacing w:before="0" w:after="480" w:line="276" w:lineRule="auto"/>
      </w:pPr>
      <w:r>
        <w:rPr>
          <w:rFonts w:ascii="Segoe UI" w:hAnsi="Segoe UI"/>
          <w:i/>
          <w:sz w:val="24"/>
          <w:szCs w:val="24"/>
          <w:color w:val="64748B"/>
        </w:rPr>
        <w:t xml:space="preserve">Flujo de Compras, Conciliación de Pagos y Sincronización Interdepartamental</w:t>
      </w:r>
    </w:p>
    <w:p>
      <w:pPr>
        <w:pBdr>
          <w:bottom w:val="single" w:sz="24" w:space="8" w:color="1E3A8A"/>
        </w:pBdr>
        <w:spacing w:after="400"/>
      </w:pPr>
    </w:p>
    <w:tbl>
      <w:tblPr>
        <w:tblW w:w="936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60" w:type="dxa"/>
          <w:bottom w:w="120" w:type="dxa"/>
          <w:right w:w="160" w:type="dxa"/>
        </w:tblCellMar>
      </w:tblPr>
      <w:tr>
        <w:trPr>
          <w:tblHeader/>
        </w:trPr>
        <w:tc>
          <w:tcPr>
            <w:tcW w:w="3000" w:type="dxa"/>
            <w:shd w:val="clear" w:color="auto" w:fill="1E3A8A"/>
          </w:tcPr>
          <w:p>
            <w:pPr>
              <w:spacing w:after="40" w:before="40"/>
            </w:pPr>
            <w:r>
              <w:rPr>
                <w:b/>
                <w:sz w:val="20"/>
                <w:color w:val="FFFFFF"/>
              </w:rPr>
              <w:t>Atributo</w:t>
            </w:r>
          </w:p>
        </w:tc>
        <w:tc>
          <w:tcPr>
            <w:tcW w:w="6360" w:type="dxa"/>
            <w:shd w:val="clear" w:color="auto" w:fill="1E3A8A"/>
          </w:tcPr>
          <w:p>
            <w:pPr>
              <w:spacing w:after="40" w:before="40"/>
            </w:pPr>
            <w:r>
              <w:rPr>
                <w:b/>
                <w:sz w:val="20"/>
                <w:color w:val="FFFFFF"/>
              </w:rPr>
              <w:t>Detalle de Configuración</w:t>
            </w:r>
          </w:p>
        </w:tc>
      </w:tr>
      <w:tr>
        <w:tc>
          <w:tcPr>
            <w:tcW w:w="3000" w:type="dxa"/>
            <w:shd w:val="clear" w:color="auto" w:fill="FFFFFF"/>
          </w:tcPr>
          <w:p>
            <w:pPr>
              <w:spacing w:after="40" w:before="40"/>
            </w:pPr>
            <w:r>
              <w:rPr>
                <w:sz w:val="20"/>
                <w:color w:val="1E293B"/>
              </w:rPr>
              <w:t>Documento:</w:t>
            </w:r>
          </w:p>
        </w:tc>
        <w:tc>
          <w:tcPr>
            <w:tcW w:w="6360" w:type="dxa"/>
            <w:shd w:val="clear" w:color="auto" w:fill="FFFFFF"/>
          </w:tcPr>
          <w:p>
            <w:pPr>
              <w:spacing w:after="40" w:before="40"/>
            </w:pPr>
            <w:r>
              <w:rPr>
                <w:sz w:val="20"/>
                <w:color w:val="1E293B"/>
              </w:rPr>
              <w:t>Manual Operativo de Usuario - Versión 2.5</w:t>
            </w:r>
          </w:p>
        </w:tc>
      </w:tr>
      <w:tr>
        <w:tc>
          <w:tcPr>
            <w:tcW w:w="3000" w:type="dxa"/>
            <w:shd w:val="clear" w:color="auto" w:fill="F8FAFC"/>
          </w:tcPr>
          <w:p>
            <w:pPr>
              <w:spacing w:after="40" w:before="40"/>
            </w:pPr>
            <w:r>
              <w:rPr>
                <w:sz w:val="20"/>
                <w:color w:val="1E293B"/>
              </w:rPr>
              <w:t>Áreas Principales:</w:t>
            </w:r>
          </w:p>
        </w:tc>
        <w:tc>
          <w:tcPr>
            <w:tcW w:w="6360" w:type="dxa"/>
            <w:shd w:val="clear" w:color="auto" w:fill="F8FAFC"/>
          </w:tcPr>
          <w:p>
            <w:pPr>
              <w:spacing w:after="40" w:before="40"/>
            </w:pPr>
            <w:r>
              <w:rPr>
                <w:sz w:val="20"/>
                <w:color w:val="1E293B"/>
              </w:rPr>
              <w:t>TI / Sistemas &amp; Contabilidad / Administración</w:t>
            </w:r>
          </w:p>
        </w:tc>
      </w:tr>
      <w:tr>
        <w:tc>
          <w:tcPr>
            <w:tcW w:w="3000" w:type="dxa"/>
            <w:shd w:val="clear" w:color="auto" w:fill="FFFFFF"/>
          </w:tcPr>
          <w:p>
            <w:pPr>
              <w:spacing w:after="40" w:before="40"/>
            </w:pPr>
            <w:r>
              <w:rPr>
                <w:sz w:val="20"/>
                <w:color w:val="1E293B"/>
              </w:rPr>
              <w:t>Módulos Incluidos:</w:t>
            </w:r>
          </w:p>
        </w:tc>
        <w:tc>
          <w:tcPr>
            <w:tcW w:w="6360" w:type="dxa"/>
            <w:shd w:val="clear" w:color="auto" w:fill="FFFFFF"/>
          </w:tcPr>
          <w:p>
            <w:pPr>
              <w:spacing w:after="40" w:before="40"/>
            </w:pPr>
            <w:r>
              <w:rPr>
                <w:sz w:val="20"/>
                <w:color w:val="1E293B"/>
              </w:rPr>
              <w:t>Órdenes de Compra (OC), Órdenes de Pago (OP), Facturación y Bajas</w:t>
            </w:r>
          </w:p>
        </w:tc>
      </w:tr>
      <w:tr>
        <w:tc>
          <w:tcPr>
            <w:tcW w:w="3000" w:type="dxa"/>
            <w:shd w:val="clear" w:color="auto" w:fill="F8FAFC"/>
          </w:tcPr>
          <w:p>
            <w:pPr>
              <w:spacing w:after="40" w:before="40"/>
            </w:pPr>
            <w:r>
              <w:rPr>
                <w:sz w:val="20"/>
                <w:color w:val="1E293B"/>
              </w:rPr>
              <w:t>Organización:</w:t>
            </w:r>
          </w:p>
        </w:tc>
        <w:tc>
          <w:tcPr>
            <w:tcW w:w="6360" w:type="dxa"/>
            <w:shd w:val="clear" w:color="auto" w:fill="F8FAFC"/>
          </w:tcPr>
          <w:p>
            <w:pPr>
              <w:spacing w:after="40" w:before="40"/>
            </w:pPr>
            <w:r>
              <w:rPr>
                <w:sz w:val="20"/>
                <w:color w:val="1E293B"/>
              </w:rPr>
              <w:t>Grupo Medical S.A. (Multi-Empresa)</w:t>
            </w:r>
          </w:p>
        </w:tc>
      </w:tr>
      <w:tr>
        <w:tc>
          <w:tcPr>
            <w:tcW w:w="3000" w:type="dxa"/>
            <w:shd w:val="clear" w:color="auto" w:fill="FFFFFF"/>
          </w:tcPr>
          <w:p>
            <w:pPr>
              <w:spacing w:after="40" w:before="40"/>
            </w:pPr>
            <w:r>
              <w:rPr>
                <w:sz w:val="20"/>
                <w:color w:val="1E293B"/>
              </w:rPr>
              <w:t>Servidor Local:</w:t>
            </w:r>
          </w:p>
        </w:tc>
        <w:tc>
          <w:tcPr>
            <w:tcW w:w="6360" w:type="dxa"/>
            <w:shd w:val="clear" w:color="auto" w:fill="FFFFFF"/>
          </w:tcPr>
          <w:p>
            <w:pPr>
              <w:spacing w:after="40" w:before="40"/>
            </w:pPr>
            <w:r>
              <w:rPr>
                <w:sz w:val="20"/>
                <w:color w:val="1E293B"/>
              </w:rPr>
              <w:t>https://192.168.10.225/ (IIS con FastCGI &amp; HTTPS)</w:t>
            </w:r>
          </w:p>
        </w:tc>
      </w:tr>
      <w:tr>
        <w:tc>
          <w:tcPr>
            <w:tcW w:w="3000" w:type="dxa"/>
            <w:shd w:val="clear" w:color="auto" w:fill="F8FAFC"/>
          </w:tcPr>
          <w:p>
            <w:pPr>
              <w:spacing w:after="40" w:before="40"/>
            </w:pPr>
            <w:r>
              <w:rPr>
                <w:sz w:val="20"/>
                <w:color w:val="1E293B"/>
              </w:rPr>
              <w:t>Última Actualización:</w:t>
            </w:r>
          </w:p>
        </w:tc>
        <w:tc>
          <w:tcPr>
            <w:tcW w:w="6360" w:type="dxa"/>
            <w:shd w:val="clear" w:color="auto" w:fill="F8FAFC"/>
          </w:tcPr>
          <w:p>
            <w:pPr>
              <w:spacing w:after="40" w:before="40"/>
            </w:pPr>
            <w:r>
              <w:rPr>
                <w:sz w:val="20"/>
                <w:color w:val="1E293B"/>
              </w:rPr>
              <w:t>Agosto 2026</w:t>
            </w:r>
          </w:p>
        </w:tc>
      </w:tr>
    </w:tbl>
    <w:p>
      <w:pPr>
        <w:spacing w:after="160"/>
      </w:pPr>
    </w:p>
    <w:p>
      <w:pPr>
        <w:spacing w:after="0"/>
        <w:pageBreakBefore/>
      </w:pPr>
    </w:p>
    <w:p>
      <w:pPr>
        <w:spacing w:before="360" w:after="160"/>
        <w:pBdr>
          <w:bottom w:val="single" w:sz="14" w:space="6" w:color="1E3A8A"/>
        </w:pBdr>
      </w:pPr>
      <w:r>
        <w:rPr>
          <w:rFonts w:ascii="Segoe UI" w:hAnsi="Segoe UI"/>
          <w:b/>
          <w:sz w:val="32"/>
          <w:szCs w:val="32"/>
          <w:color w:val="1E3A8A"/>
        </w:rPr>
        <w:t>CONTENIDO DEL MANUAL</w:t>
      </w:r>
    </w:p>
    <w:p>
      <w:pPr>
        <w:spacing w:before="0" w:after="60" w:line="276" w:lineRule="auto"/>
      </w:pPr>
      <w:r>
        <w:rPr>
          <w:rFonts w:ascii="Segoe UI" w:hAnsi="Segoe UI"/>
          <w:b/>
          <w:sz w:val="22"/>
          <w:szCs w:val="22"/>
          <w:color w:val="1E3A8A"/>
        </w:rPr>
        <w:t xml:space="preserve">1. INTRODUCCIÓN Y ARQUITECTURA DEL SISTEMA</w:t>
      </w:r>
    </w:p>
    <w:p>
      <w:pPr>
        <w:spacing w:before="0" w:after="120" w:line="276" w:lineRule="auto"/>
      </w:pPr>
      <w:r>
        <w:rPr>
          <w:rFonts w:ascii="Segoe UI" w:hAnsi="Segoe UI"/>
          <w:sz w:val="20"/>
          <w:szCs w:val="20"/>
          <w:color w:val="475569"/>
        </w:rPr>
        <w:t xml:space="preserve">   1.1 Propósito y Alcance Operativo
   1.2 Acceso Web y Seguridad (HTTPS / Certificado)
   1.3 Matriz de Roles y Accesos del Sistema</w:t>
      </w:r>
    </w:p>
    <w:p>
      <w:pPr>
        <w:spacing w:before="0" w:after="60" w:line="276" w:lineRule="auto"/>
      </w:pPr>
      <w:r>
        <w:rPr>
          <w:rFonts w:ascii="Segoe UI" w:hAnsi="Segoe UI"/>
          <w:b/>
          <w:sz w:val="22"/>
          <w:szCs w:val="22"/>
          <w:color w:val="1E3A8A"/>
        </w:rPr>
        <w:t xml:space="preserve">2. MÓDULO DE TI / SISTEMAS</w:t>
      </w:r>
    </w:p>
    <w:p>
      <w:pPr>
        <w:spacing w:before="0" w:after="120" w:line="276" w:lineRule="auto"/>
      </w:pPr>
      <w:r>
        <w:rPr>
          <w:rFonts w:ascii="Segoe UI" w:hAnsi="Segoe UI"/>
          <w:sz w:val="20"/>
          <w:szCs w:val="20"/>
          <w:color w:val="475569"/>
        </w:rPr>
        <w:t xml:space="preserve">   2.1 Generación de Órdenes de Compra (OC)
   2.2 Registro de Guías de Baja de Equipos (BAJA)
   2.3 Historial de TI y Carga de Facturas del Proveedor</w:t>
      </w:r>
    </w:p>
    <w:p>
      <w:pPr>
        <w:spacing w:before="0" w:after="60" w:line="276" w:lineRule="auto"/>
      </w:pPr>
      <w:r>
        <w:rPr>
          <w:rFonts w:ascii="Segoe UI" w:hAnsi="Segoe UI"/>
          <w:b/>
          <w:sz w:val="22"/>
          <w:szCs w:val="22"/>
          <w:color w:val="1E3A8A"/>
        </w:rPr>
        <w:t xml:space="preserve">3. MÓDULO DE CONTABILIDAD (EMISIÓN MULTI-EMPRESA)</w:t>
      </w:r>
    </w:p>
    <w:p>
      <w:pPr>
        <w:spacing w:before="0" w:after="120" w:line="276" w:lineRule="auto"/>
      </w:pPr>
      <w:r>
        <w:rPr>
          <w:rFonts w:ascii="Segoe UI" w:hAnsi="Segoe UI"/>
          <w:sz w:val="20"/>
          <w:szCs w:val="20"/>
          <w:color w:val="475569"/>
        </w:rPr>
        <w:t xml:space="preserve">   3.1 Generación de Órdenes de Pago (OP)
   3.2 Tabla de Razones Sociales y Prefijos de Archivo
   3.3 Asignación de Vouchers Independientes por Empresa</w:t>
      </w:r>
    </w:p>
    <w:p>
      <w:pPr>
        <w:spacing w:before="0" w:after="60" w:line="276" w:lineRule="auto"/>
      </w:pPr>
      <w:r>
        <w:rPr>
          <w:rFonts w:ascii="Segoe UI" w:hAnsi="Segoe UI"/>
          <w:b/>
          <w:sz w:val="22"/>
          <w:szCs w:val="22"/>
          <w:color w:val="1E3A8A"/>
        </w:rPr>
        <w:t xml:space="preserve">4. FLUJO DE SINCRONIZACIÓN TI &lt;-&gt; CONTABILIDAD</w:t>
      </w:r>
    </w:p>
    <w:p>
      <w:pPr>
        <w:spacing w:before="0" w:after="120" w:line="276" w:lineRule="auto"/>
      </w:pPr>
      <w:r>
        <w:rPr>
          <w:rFonts w:ascii="Segoe UI" w:hAnsi="Segoe UI"/>
          <w:sz w:val="20"/>
          <w:szCs w:val="20"/>
          <w:color w:val="475569"/>
        </w:rPr>
        <w:t xml:space="preserve">   4.1 Diagrama del Flujo de Trabajo Coordinado
   4.2 Procedimiento de Vinculación de OC desde Contabilidad
   4.3 Semáforo de Estados: Factura Pendiente vs. Factura Subida
   4.4 Protocolo de Comunicación y Buenas Prácticas</w:t>
      </w:r>
    </w:p>
    <w:p>
      <w:pPr>
        <w:spacing w:before="0" w:after="60" w:line="276" w:lineRule="auto"/>
      </w:pPr>
      <w:r>
        <w:rPr>
          <w:rFonts w:ascii="Segoe UI" w:hAnsi="Segoe UI"/>
          <w:b/>
          <w:sz w:val="22"/>
          <w:szCs w:val="22"/>
          <w:color w:val="1E3A8A"/>
        </w:rPr>
        <w:t xml:space="preserve">5. MÓDULOS COMPLEMENTARIOS (RESUMEN)</w:t>
      </w:r>
    </w:p>
    <w:p>
      <w:pPr>
        <w:spacing w:before="0" w:after="120" w:line="276" w:lineRule="auto"/>
      </w:pPr>
      <w:r>
        <w:rPr>
          <w:rFonts w:ascii="Segoe UI" w:hAnsi="Segoe UI"/>
          <w:sz w:val="20"/>
          <w:szCs w:val="20"/>
          <w:color w:val="475569"/>
        </w:rPr>
        <w:t xml:space="preserve">   5.1 Módulo de Mantenimiento (Órdenes OCM)
   5.2 Módulo de Marketing (Órdenes de Servicio OS)</w:t>
      </w:r>
    </w:p>
    <w:p>
      <w:pPr>
        <w:spacing w:before="0" w:after="60" w:line="276" w:lineRule="auto"/>
      </w:pPr>
      <w:r>
        <w:rPr>
          <w:rFonts w:ascii="Segoe UI" w:hAnsi="Segoe UI"/>
          <w:b/>
          <w:sz w:val="22"/>
          <w:szCs w:val="22"/>
          <w:color w:val="1E3A8A"/>
        </w:rPr>
        <w:t xml:space="preserve">6. PREGUNTAS FRECUENTES Y SOLUCIÓN DE PROBLEMAS (FAQ)</w:t>
      </w:r>
    </w:p>
    <w:p>
      <w:pPr>
        <w:spacing w:before="0" w:after="240" w:line="276" w:lineRule="auto"/>
      </w:pPr>
      <w:r>
        <w:rPr>
          <w:rFonts w:ascii="Segoe UI" w:hAnsi="Segoe UI"/>
          <w:sz w:val="20"/>
          <w:szCs w:val="20"/>
          <w:color w:val="475569"/>
        </w:rPr>
        <w:t xml:space="preserve">   6.1 Bloqueo de Descargas No Seguras / Certificado SSL
   6.2 Apertura Automática de PDFs y Pop-ups
   6.3 Manejo de Correlativos y Evitar Duplicados</w:t>
      </w:r>
    </w:p>
    <w:p>
      <w:pPr>
        <w:spacing w:before="360" w:after="160"/>
        <w:pBdr>
          <w:bottom w:val="single" w:sz="14" w:space="6" w:color="1E3A8A"/>
        </w:pBdr>
      </w:pPr>
      <w:r>
        <w:rPr>
          <w:rFonts w:ascii="Segoe UI" w:hAnsi="Segoe UI"/>
          <w:b/>
          <w:sz w:val="32"/>
          <w:szCs w:val="32"/>
          <w:color w:val="1E3A8A"/>
        </w:rPr>
        <w:t>1. INTRODUCCIÓN Y ARQUITECTURA DEL SISTEMA</w:t>
      </w:r>
    </w:p>
    <w:p>
      <w:pPr>
        <w:spacing w:before="0" w:after="140" w:line="276" w:lineRule="auto"/>
      </w:pPr>
      <w:r>
        <w:rPr>
          <w:rFonts w:ascii="Segoe UI" w:hAnsi="Segoe UI"/>
          <w:sz w:val="22"/>
          <w:szCs w:val="22"/>
          <w:color w:val="334155"/>
        </w:rPr>
        <w:t xml:space="preserve">El Sistema de Gestión de Órdenes de Grupo Medical es una plataforma web centralizada diseñada para estandarizar, controlar y conciliar digitalmente todo el ciclo de compras de tecnología, pagos a proveedores y bajas de inventario, eliminando el intercambio desordenado de documentos físicos, correos electrónicos y hojas de cálculo.</w:t>
      </w:r>
    </w:p>
    <w:p>
      <w:pPr>
        <w:spacing w:before="240" w:after="120"/>
      </w:pPr>
      <w:r>
        <w:rPr>
          <w:rFonts w:ascii="Segoe UI" w:hAnsi="Segoe UI"/>
          <w:b/>
          <w:sz w:val="26"/>
          <w:szCs w:val="26"/>
          <w:color w:val="0369A1"/>
        </w:rPr>
        <w:t>1.1 Acceso al Sistema</w:t>
      </w:r>
    </w:p>
    <w:p>
      <w:pPr>
        <w:spacing w:before="0" w:after="140" w:line="276" w:lineRule="auto"/>
      </w:pPr>
      <w:r>
        <w:rPr>
          <w:rFonts w:ascii="Segoe UI" w:hAnsi="Segoe UI"/>
          <w:sz w:val="22"/>
          <w:szCs w:val="22"/>
          <w:color w:val="334155"/>
        </w:rPr>
        <w:t xml:space="preserve">La aplicación opera en el servidor local de la organización y cuenta con protocolo seguro HTTPS habilitado. Se accede desde cualquier navegador moderno en la red corporativa mediante la dirección:</w:t>
      </w:r>
    </w:p>
    <w:tbl>
      <w:tblPr>
        <w:tblW w:w="9360" w:type="dxa"/>
        <w:tblBorders>
          <w:top w:val="none"/>
          <w:left w:val="single" w:sz="36" w:color="2563EB"/>
          <w:bottom w:val="none"/>
          <w:right w:val="none"/>
        </w:tblBorders>
        <w:tblCellMar>
          <w:top w:w="160" w:type="dxa"/>
          <w:left w:w="220" w:type="dxa"/>
          <w:bottom w:w="160" w:type="dxa"/>
          <w:right w:w="220" w:type="dxa"/>
        </w:tblCellMar>
      </w:tblPr>
      <w:tr>
        <w:tc>
          <w:tcPr>
            <w:tcW w:w="9360" w:type="dxa"/>
            <w:shd w:val="clear" w:color="auto" w:fill="EFF6FF"/>
          </w:tcPr>
          <w:p>
            <w:pPr>
              <w:spacing w:after="60"/>
            </w:pPr>
            <w:r>
              <w:rPr>
                <w:b/>
                <w:sz w:val="22"/>
                <w:color w:val="1E40AF"/>
              </w:rPr>
              <w:t>ENLACE OFICIAL DE ACCESO:</w:t>
            </w:r>
          </w:p>
          <w:p>
            <w:pPr>
              <w:spacing w:after="0"/>
            </w:pPr>
            <w:r>
              <w:rPr>
                <w:sz w:val="20"/>
                <w:color w:val="334155"/>
              </w:rPr>
              <w:t>https://192.168.10.225/
(Nota: Si el navegador muestra advertencia de certificado autofirmado, seleccionar 'Configuración avanzada' -&gt; 'Acceder a 192.168.10.225').</w:t>
            </w:r>
          </w:p>
        </w:tc>
      </w:tr>
    </w:tbl>
    <w:p>
      <w:pPr>
        <w:spacing w:after="120"/>
      </w:pPr>
    </w:p>
    <w:p>
      <w:pPr>
        <w:spacing w:before="240" w:after="120"/>
      </w:pPr>
      <w:r>
        <w:rPr>
          <w:rFonts w:ascii="Segoe UI" w:hAnsi="Segoe UI"/>
          <w:b/>
          <w:sz w:val="26"/>
          <w:szCs w:val="26"/>
          <w:color w:val="0369A1"/>
        </w:rPr>
        <w:t>1.2 Estructura de Roles y Accesos</w:t>
      </w:r>
    </w:p>
    <w:p>
      <w:pPr>
        <w:spacing w:before="0" w:after="140" w:line="276" w:lineRule="auto"/>
      </w:pPr>
      <w:r>
        <w:rPr>
          <w:rFonts w:ascii="Segoe UI" w:hAnsi="Segoe UI"/>
          <w:sz w:val="22"/>
          <w:szCs w:val="22"/>
          <w:color w:val="334155"/>
        </w:rPr>
        <w:t xml:space="preserve">El sistema implementa un control de acceso basado en roles (RBAC). Al iniciar sesión, la interfaz adapta automáticamente las opciones y permisos según el perfil del usuario:</w:t>
      </w:r>
    </w:p>
    <w:p>
      <w:pPr>
        <w:jc w:val="center"/>
        <w:spacing w:before="120" w:after="80"/>
      </w:pPr>
      <w:r>
        <w:drawing>
          <wp:inline xmlns:wp="http://schemas.openxmlformats.org/drawingml/2006/wordprocessingDrawing">
            <wp:extent cx="5800000" cy="2000000"/>
            <wp:docPr id="1" name="Picture"/>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DiagModulos"/>
                    <a:stretch>
                      <a:fillRect/>
                    </a:stretch>
                  </pic:blipFill>
                  <pic:spPr>
                    <a:xfrm>
                      <a:off x="0" y="0"/>
                      <a:ext cx="5800000" cy="2000000"/>
                    </a:xfrm>
                    <a:prstGeom prst="rect">
                      <a:avLst/>
                    </a:prstGeom>
                  </pic:spPr>
                </pic:pic>
              </a:graphicData>
            </a:graphic>
          </wp:inline>
        </w:drawing>
      </w:r>
    </w:p>
    <w:p>
      <w:pPr>
        <w:jc w:val="center"/>
        <w:spacing w:before="0" w:after="180" w:line="276" w:lineRule="auto"/>
      </w:pPr>
      <w:r>
        <w:rPr>
          <w:rFonts w:ascii="Segoe UI" w:hAnsi="Segoe UI"/>
          <w:i/>
          <w:sz w:val="18"/>
          <w:szCs w:val="18"/>
          <w:color w:val="64748B"/>
        </w:rPr>
        <w:t xml:space="preserve">Figura 1: Estructura y alcance de roles dentro del sistema.</w:t>
      </w:r>
    </w:p>
    <w:tbl>
      <w:tblPr>
        <w:tblW w:w="936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60" w:type="dxa"/>
          <w:bottom w:w="120" w:type="dxa"/>
          <w:right w:w="160" w:type="dxa"/>
        </w:tblCellMar>
      </w:tblPr>
      <w:tr>
        <w:trPr>
          <w:tblHeader/>
        </w:trPr>
        <w:tc>
          <w:tcPr>
            <w:tcW w:w="1800" w:type="dxa"/>
            <w:shd w:val="clear" w:color="auto" w:fill="1E3A8A"/>
          </w:tcPr>
          <w:p>
            <w:pPr>
              <w:spacing w:after="40" w:before="40"/>
            </w:pPr>
            <w:r>
              <w:rPr>
                <w:b/>
                <w:sz w:val="20"/>
                <w:color w:val="FFFFFF"/>
              </w:rPr>
              <w:t>Módulo / Rol</w:t>
            </w:r>
          </w:p>
        </w:tc>
        <w:tc>
          <w:tcPr>
            <w:tcW w:w="1500" w:type="dxa"/>
            <w:shd w:val="clear" w:color="auto" w:fill="1E3A8A"/>
          </w:tcPr>
          <w:p>
            <w:pPr>
              <w:spacing w:after="40" w:before="40"/>
            </w:pPr>
            <w:r>
              <w:rPr>
                <w:b/>
                <w:sz w:val="20"/>
                <w:color w:val="FFFFFF"/>
              </w:rPr>
              <w:t>Usuario</w:t>
            </w:r>
          </w:p>
        </w:tc>
        <w:tc>
          <w:tcPr>
            <w:tcW w:w="4300" w:type="dxa"/>
            <w:shd w:val="clear" w:color="auto" w:fill="1E3A8A"/>
          </w:tcPr>
          <w:p>
            <w:pPr>
              <w:spacing w:after="40" w:before="40"/>
            </w:pPr>
            <w:r>
              <w:rPr>
                <w:b/>
                <w:sz w:val="20"/>
                <w:color w:val="FFFFFF"/>
              </w:rPr>
              <w:t>Funcionalidades Principales</w:t>
            </w:r>
          </w:p>
        </w:tc>
        <w:tc>
          <w:tcPr>
            <w:tcW w:w="1760" w:type="dxa"/>
            <w:shd w:val="clear" w:color="auto" w:fill="1E3A8A"/>
          </w:tcPr>
          <w:p>
            <w:pPr>
              <w:spacing w:after="40" w:before="40"/>
            </w:pPr>
            <w:r>
              <w:rPr>
                <w:b/>
                <w:sz w:val="20"/>
                <w:color w:val="FFFFFF"/>
              </w:rPr>
              <w:t>Nivel de Operación</w:t>
            </w:r>
          </w:p>
        </w:tc>
      </w:tr>
      <w:tr>
        <w:tc>
          <w:tcPr>
            <w:tcW w:w="1800" w:type="dxa"/>
            <w:shd w:val="clear" w:color="auto" w:fill="FFFFFF"/>
          </w:tcPr>
          <w:p>
            <w:pPr>
              <w:spacing w:after="40" w:before="40"/>
            </w:pPr>
            <w:r>
              <w:rPr>
                <w:sz w:val="20"/>
                <w:color w:val="1E293B"/>
              </w:rPr>
              <w:t>TI / Sistemas</w:t>
            </w:r>
          </w:p>
        </w:tc>
        <w:tc>
          <w:tcPr>
            <w:tcW w:w="1500" w:type="dxa"/>
            <w:shd w:val="clear" w:color="auto" w:fill="FFFFFF"/>
          </w:tcPr>
          <w:p>
            <w:pPr>
              <w:spacing w:after="40" w:before="40"/>
            </w:pPr>
            <w:r>
              <w:rPr>
                <w:sz w:val="20"/>
                <w:color w:val="1E293B"/>
              </w:rPr>
              <w:t>sistemas</w:t>
            </w:r>
          </w:p>
        </w:tc>
        <w:tc>
          <w:tcPr>
            <w:tcW w:w="4300" w:type="dxa"/>
            <w:shd w:val="clear" w:color="auto" w:fill="FFFFFF"/>
          </w:tcPr>
          <w:p>
            <w:pPr>
              <w:spacing w:after="40" w:before="40"/>
            </w:pPr>
            <w:r>
              <w:rPr>
                <w:sz w:val="20"/>
                <w:color w:val="1E293B"/>
              </w:rPr>
              <w:t>Órdenes de Compra (OC), Guías de Baja (BAJA), Carga de Facturas PDF, Historial TI.</w:t>
            </w:r>
          </w:p>
        </w:tc>
        <w:tc>
          <w:tcPr>
            <w:tcW w:w="1760" w:type="dxa"/>
            <w:shd w:val="clear" w:color="auto" w:fill="FFFFFF"/>
          </w:tcPr>
          <w:p>
            <w:pPr>
              <w:spacing w:after="40" w:before="40"/>
            </w:pPr>
            <w:r>
              <w:rPr>
                <w:sz w:val="20"/>
                <w:color w:val="1E293B"/>
              </w:rPr>
              <w:t>Alta (Edición y subida)</w:t>
            </w:r>
          </w:p>
        </w:tc>
      </w:tr>
      <w:tr>
        <w:tc>
          <w:tcPr>
            <w:tcW w:w="1800" w:type="dxa"/>
            <w:shd w:val="clear" w:color="auto" w:fill="F8FAFC"/>
          </w:tcPr>
          <w:p>
            <w:pPr>
              <w:spacing w:after="40" w:before="40"/>
            </w:pPr>
            <w:r>
              <w:rPr>
                <w:sz w:val="20"/>
                <w:color w:val="1E293B"/>
              </w:rPr>
              <w:t>Contabilidad</w:t>
            </w:r>
          </w:p>
        </w:tc>
        <w:tc>
          <w:tcPr>
            <w:tcW w:w="1500" w:type="dxa"/>
            <w:shd w:val="clear" w:color="auto" w:fill="F8FAFC"/>
          </w:tcPr>
          <w:p>
            <w:pPr>
              <w:spacing w:after="40" w:before="40"/>
            </w:pPr>
            <w:r>
              <w:rPr>
                <w:sz w:val="20"/>
                <w:color w:val="1E293B"/>
              </w:rPr>
              <w:t>contabilidad</w:t>
            </w:r>
          </w:p>
        </w:tc>
        <w:tc>
          <w:tcPr>
            <w:tcW w:w="4300" w:type="dxa"/>
            <w:shd w:val="clear" w:color="auto" w:fill="F8FAFC"/>
          </w:tcPr>
          <w:p>
            <w:pPr>
              <w:spacing w:after="40" w:before="40"/>
            </w:pPr>
            <w:r>
              <w:rPr>
                <w:sz w:val="20"/>
                <w:color w:val="1E293B"/>
              </w:rPr>
              <w:t>Órdenes de Pago (OP), Emisión multi-empresa, Vinculación con OC de TI, Descarga directa de facturas.</w:t>
            </w:r>
          </w:p>
        </w:tc>
        <w:tc>
          <w:tcPr>
            <w:tcW w:w="1760" w:type="dxa"/>
            <w:shd w:val="clear" w:color="auto" w:fill="F8FAFC"/>
          </w:tcPr>
          <w:p>
            <w:pPr>
              <w:spacing w:after="40" w:before="40"/>
            </w:pPr>
            <w:r>
              <w:rPr>
                <w:sz w:val="20"/>
                <w:color w:val="1E293B"/>
              </w:rPr>
              <w:t>Alta (Conciliación y pago)</w:t>
            </w:r>
          </w:p>
        </w:tc>
      </w:tr>
      <w:tr>
        <w:tc>
          <w:tcPr>
            <w:tcW w:w="1800" w:type="dxa"/>
            <w:shd w:val="clear" w:color="auto" w:fill="FFFFFF"/>
          </w:tcPr>
          <w:p>
            <w:pPr>
              <w:spacing w:after="40" w:before="40"/>
            </w:pPr>
            <w:r>
              <w:rPr>
                <w:sz w:val="20"/>
                <w:color w:val="1E293B"/>
              </w:rPr>
              <w:t>Mantenimiento</w:t>
            </w:r>
          </w:p>
        </w:tc>
        <w:tc>
          <w:tcPr>
            <w:tcW w:w="1500" w:type="dxa"/>
            <w:shd w:val="clear" w:color="auto" w:fill="FFFFFF"/>
          </w:tcPr>
          <w:p>
            <w:pPr>
              <w:spacing w:after="40" w:before="40"/>
            </w:pPr>
            <w:r>
              <w:rPr>
                <w:sz w:val="20"/>
                <w:color w:val="1E293B"/>
              </w:rPr>
              <w:t>mantenimiento</w:t>
            </w:r>
          </w:p>
        </w:tc>
        <w:tc>
          <w:tcPr>
            <w:tcW w:w="4300" w:type="dxa"/>
            <w:shd w:val="clear" w:color="auto" w:fill="FFFFFF"/>
          </w:tcPr>
          <w:p>
            <w:pPr>
              <w:spacing w:after="40" w:before="40"/>
            </w:pPr>
            <w:r>
              <w:rPr>
                <w:sz w:val="20"/>
                <w:color w:val="1E293B"/>
              </w:rPr>
              <w:t>Órdenes de Compra de Mantenimiento (OCM), Proveedores propios independientes.</w:t>
            </w:r>
          </w:p>
        </w:tc>
        <w:tc>
          <w:tcPr>
            <w:tcW w:w="1760" w:type="dxa"/>
            <w:shd w:val="clear" w:color="auto" w:fill="FFFFFF"/>
          </w:tcPr>
          <w:p>
            <w:pPr>
              <w:spacing w:after="40" w:before="40"/>
            </w:pPr>
            <w:r>
              <w:rPr>
                <w:sz w:val="20"/>
                <w:color w:val="1E293B"/>
              </w:rPr>
              <w:t>Sectorial (Mantenimiento)</w:t>
            </w:r>
          </w:p>
        </w:tc>
      </w:tr>
      <w:tr>
        <w:tc>
          <w:tcPr>
            <w:tcW w:w="1800" w:type="dxa"/>
            <w:shd w:val="clear" w:color="auto" w:fill="F8FAFC"/>
          </w:tcPr>
          <w:p>
            <w:pPr>
              <w:spacing w:after="40" w:before="40"/>
            </w:pPr>
            <w:r>
              <w:rPr>
                <w:sz w:val="20"/>
                <w:color w:val="1E293B"/>
              </w:rPr>
              <w:t>Marketing</w:t>
            </w:r>
          </w:p>
        </w:tc>
        <w:tc>
          <w:tcPr>
            <w:tcW w:w="1500" w:type="dxa"/>
            <w:shd w:val="clear" w:color="auto" w:fill="F8FAFC"/>
          </w:tcPr>
          <w:p>
            <w:pPr>
              <w:spacing w:after="40" w:before="40"/>
            </w:pPr>
            <w:r>
              <w:rPr>
                <w:sz w:val="20"/>
                <w:color w:val="1E293B"/>
              </w:rPr>
              <w:t>marketing</w:t>
            </w:r>
          </w:p>
        </w:tc>
        <w:tc>
          <w:tcPr>
            <w:tcW w:w="4300" w:type="dxa"/>
            <w:shd w:val="clear" w:color="auto" w:fill="F8FAFC"/>
          </w:tcPr>
          <w:p>
            <w:pPr>
              <w:spacing w:after="40" w:before="40"/>
            </w:pPr>
            <w:r>
              <w:rPr>
                <w:sz w:val="20"/>
                <w:color w:val="1E293B"/>
              </w:rPr>
              <w:t>Órdenes de Servicio (OS), Notas y requerimientos de publicidad/diseño.</w:t>
            </w:r>
          </w:p>
        </w:tc>
        <w:tc>
          <w:tcPr>
            <w:tcW w:w="1760" w:type="dxa"/>
            <w:shd w:val="clear" w:color="auto" w:fill="F8FAFC"/>
          </w:tcPr>
          <w:p>
            <w:pPr>
              <w:spacing w:after="40" w:before="40"/>
            </w:pPr>
            <w:r>
              <w:rPr>
                <w:sz w:val="20"/>
                <w:color w:val="1E293B"/>
              </w:rPr>
              <w:t>Sectorial (Servicios)</w:t>
            </w:r>
          </w:p>
        </w:tc>
      </w:tr>
    </w:tbl>
    <w:p>
      <w:pPr>
        <w:spacing w:after="160"/>
      </w:pPr>
    </w:p>
    <w:p>
      <w:pPr>
        <w:spacing w:before="360" w:after="160"/>
        <w:pBdr>
          <w:bottom w:val="single" w:sz="14" w:space="6" w:color="1E3A8A"/>
        </w:pBdr>
      </w:pPr>
      <w:r>
        <w:rPr>
          <w:rFonts w:ascii="Segoe UI" w:hAnsi="Segoe UI"/>
          <w:b/>
          <w:sz w:val="32"/>
          <w:szCs w:val="32"/>
          <w:color w:val="1E3A8A"/>
        </w:rPr>
        <w:t>2. MÓDULO DE TI / SISTEMAS</w:t>
      </w:r>
    </w:p>
    <w:p>
      <w:pPr>
        <w:spacing w:before="0" w:after="140" w:line="276" w:lineRule="auto"/>
      </w:pPr>
      <w:r>
        <w:rPr>
          <w:rFonts w:ascii="Segoe UI" w:hAnsi="Segoe UI"/>
          <w:sz w:val="22"/>
          <w:szCs w:val="22"/>
          <w:color w:val="334155"/>
        </w:rPr>
        <w:t xml:space="preserve">El área de TI es la encargada de registrar los requerimientos tecnológicos corporativos, gestionar los pedidos con los proveedores y alimentar el sistema con los comprobantes de pago digitales para que Contabilidad pueda proceder con las transferencias.</w:t>
      </w:r>
    </w:p>
    <w:p>
      <w:pPr>
        <w:spacing w:before="240" w:after="120"/>
      </w:pPr>
      <w:r>
        <w:rPr>
          <w:rFonts w:ascii="Segoe UI" w:hAnsi="Segoe UI"/>
          <w:b/>
          <w:sz w:val="26"/>
          <w:szCs w:val="26"/>
          <w:color w:val="0369A1"/>
        </w:rPr>
        <w:t>2.1 Creación de Órdenes de Compra (OC)</w:t>
      </w:r>
    </w:p>
    <w:p>
      <w:pPr>
        <w:spacing w:before="0" w:after="140" w:line="276" w:lineRule="auto"/>
      </w:pPr>
      <w:r>
        <w:rPr>
          <w:rFonts w:ascii="Segoe UI" w:hAnsi="Segoe UI"/>
          <w:sz w:val="22"/>
          <w:szCs w:val="22"/>
          <w:color w:val="334155"/>
        </w:rPr>
        <w:t xml:space="preserve">Para generar una solicitud de compra, el usuario de TI debe ingresar al menú 'Orden de Compra' y completar los siguientes bloques:</w:t>
      </w:r>
    </w:p>
    <w:p>
      <w:pPr>
        <w:pStyle w:val="ListParagraph"/>
        <w:numPr>
          <w:ilvl w:val="0"/>
        </w:numPr>
        <w:ind w:left="720" w:hanging="360"/>
        <w:spacing w:after="80" w:line="260" w:lineRule="auto"/>
      </w:pPr>
      <w:r>
        <w:rPr>
          <w:color w:val="1E3A8A"/>
          <w:b/>
        </w:rPr>
        <w:t xml:space="preserve">● </w:t>
      </w:r>
      <w:r>
        <w:rPr>
          <w:b/>
          <w:sz w:val="22"/>
          <w:color w:val="0F172A"/>
        </w:rPr>
        <w:t xml:space="preserve">Cabecera: </w:t>
      </w:r>
      <w:r>
        <w:rPr>
          <w:sz w:val="22"/>
          <w:color w:val="334155"/>
        </w:rPr>
        <w:t xml:space="preserve">Datos del Emisor y Solicitante:</w:t>
      </w:r>
    </w:p>
    <w:p>
      <w:pPr>
        <w:pStyle w:val="ListParagraph"/>
        <w:numPr>
          <w:ilvl w:val="1"/>
        </w:numPr>
        <w:ind w:left="1080" w:hanging="360"/>
        <w:spacing w:after="80" w:line="260" w:lineRule="auto"/>
      </w:pPr>
      <w:r>
        <w:rPr>
          <w:color w:val="1E3A8A"/>
          <w:b/>
        </w:rPr>
        <w:t xml:space="preserve">● </w:t>
      </w:r>
      <w:r>
        <w:rPr>
          <w:sz w:val="22"/>
          <w:color w:val="334155"/>
        </w:rPr>
        <w:t xml:space="preserve">Se selecciona la Razón Social de la empresa del grupo que asume el gasto (ej. ONCO TEST S.A.C., GRUPO MEDICAL, MEDICAL DIAGNOSTIC). El RUC y la dirección se completan automáticamente.</w:t>
      </w:r>
    </w:p>
    <w:p>
      <w:pPr>
        <w:pStyle w:val="ListParagraph"/>
        <w:numPr>
          <w:ilvl w:val="0"/>
        </w:numPr>
        <w:ind w:left="720" w:hanging="360"/>
        <w:spacing w:after="80" w:line="260" w:lineRule="auto"/>
      </w:pPr>
      <w:r>
        <w:rPr>
          <w:color w:val="1E3A8A"/>
          <w:b/>
        </w:rPr>
        <w:t xml:space="preserve">● </w:t>
      </w:r>
      <w:r>
        <w:rPr>
          <w:b/>
          <w:sz w:val="22"/>
          <w:color w:val="0F172A"/>
        </w:rPr>
        <w:t xml:space="preserve">Trazabilidad: </w:t>
      </w:r>
      <w:r>
        <w:rPr>
          <w:sz w:val="22"/>
          <w:color w:val="334155"/>
        </w:rPr>
        <w:t xml:space="preserve">Código Jira / Ticket:</w:t>
      </w:r>
    </w:p>
    <w:p>
      <w:pPr>
        <w:pStyle w:val="ListParagraph"/>
        <w:numPr>
          <w:ilvl w:val="1"/>
        </w:numPr>
        <w:ind w:left="1080" w:hanging="360"/>
        <w:spacing w:after="80" w:line="260" w:lineRule="auto"/>
      </w:pPr>
      <w:r>
        <w:rPr>
          <w:color w:val="1E3A8A"/>
          <w:b/>
        </w:rPr>
        <w:t xml:space="preserve">● </w:t>
      </w:r>
      <w:r>
        <w:rPr>
          <w:sz w:val="22"/>
          <w:color w:val="334155"/>
        </w:rPr>
        <w:t xml:space="preserve">Cada ítem de la tabla permite ingresar el código de ticket de Jira (ej. RIC0208-364) para asociar el gasto directamente al proyecto o incidente correspondiente.</w:t>
      </w:r>
    </w:p>
    <w:p>
      <w:pPr>
        <w:pStyle w:val="ListParagraph"/>
        <w:numPr>
          <w:ilvl w:val="0"/>
        </w:numPr>
        <w:ind w:left="720" w:hanging="360"/>
        <w:spacing w:after="80" w:line="260" w:lineRule="auto"/>
      </w:pPr>
      <w:r>
        <w:rPr>
          <w:color w:val="1E3A8A"/>
          <w:b/>
        </w:rPr>
        <w:t xml:space="preserve">● </w:t>
      </w:r>
      <w:r>
        <w:rPr>
          <w:b/>
          <w:sz w:val="22"/>
          <w:color w:val="0F172A"/>
        </w:rPr>
        <w:t xml:space="preserve">Ítems: </w:t>
      </w:r>
      <w:r>
        <w:rPr>
          <w:sz w:val="22"/>
          <w:color w:val="334155"/>
        </w:rPr>
        <w:t xml:space="preserve">Detalle de Bienes y Precios:</w:t>
      </w:r>
    </w:p>
    <w:p>
      <w:pPr>
        <w:pStyle w:val="ListParagraph"/>
        <w:numPr>
          <w:ilvl w:val="1"/>
        </w:numPr>
        <w:ind w:left="1080" w:hanging="360"/>
        <w:spacing w:after="80" w:line="260" w:lineRule="auto"/>
      </w:pPr>
      <w:r>
        <w:rPr>
          <w:color w:val="1E3A8A"/>
          <w:b/>
        </w:rPr>
        <w:t xml:space="preserve">● </w:t>
      </w:r>
      <w:r>
        <w:rPr>
          <w:sz w:val="22"/>
          <w:color w:val="334155"/>
        </w:rPr>
        <w:t xml:space="preserve">Se especifica descripción, marca, modelo, cantidad y costo unitario. El sistema calcula automáticamente el Subtotal, IGV (18%) y Total General en Soles o Dólares.</w:t>
      </w:r>
    </w:p>
    <w:p>
      <w:pPr>
        <w:pStyle w:val="ListParagraph"/>
        <w:numPr>
          <w:ilvl w:val="0"/>
        </w:numPr>
        <w:ind w:left="720" w:hanging="360"/>
        <w:spacing w:after="80" w:line="260" w:lineRule="auto"/>
      </w:pPr>
      <w:r>
        <w:rPr>
          <w:color w:val="1E3A8A"/>
          <w:b/>
        </w:rPr>
        <w:t xml:space="preserve">● </w:t>
      </w:r>
      <w:r>
        <w:rPr>
          <w:b/>
          <w:sz w:val="22"/>
          <w:color w:val="0F172A"/>
        </w:rPr>
        <w:t xml:space="preserve">Proveedor: </w:t>
      </w:r>
      <w:r>
        <w:rPr>
          <w:sz w:val="22"/>
          <w:color w:val="334155"/>
        </w:rPr>
        <w:t xml:space="preserve">Datos Bancarios del Proveedor:</w:t>
      </w:r>
    </w:p>
    <w:p>
      <w:pPr>
        <w:pStyle w:val="ListParagraph"/>
        <w:numPr>
          <w:ilvl w:val="1"/>
        </w:numPr>
        <w:ind w:left="1080" w:hanging="360"/>
        <w:spacing w:after="80" w:line="260" w:lineRule="auto"/>
      </w:pPr>
      <w:r>
        <w:rPr>
          <w:color w:val="1E3A8A"/>
          <w:b/>
        </w:rPr>
        <w:t xml:space="preserve">● </w:t>
      </w:r>
      <w:r>
        <w:rPr>
          <w:sz w:val="22"/>
          <w:color w:val="334155"/>
        </w:rPr>
        <w:t xml:space="preserve">El sistema cuenta con autocompletado inteligente. Al escribir el nombre del proveedor, recupera su RUC, banco y número de cuenta de compras anteriores.</w:t>
      </w:r>
    </w:p>
    <w:p>
      <w:pPr>
        <w:pStyle w:val="ListParagraph"/>
        <w:numPr>
          <w:ilvl w:val="0"/>
        </w:numPr>
        <w:ind w:left="720" w:hanging="360"/>
        <w:spacing w:after="80" w:line="260" w:lineRule="auto"/>
      </w:pPr>
      <w:r>
        <w:rPr>
          <w:color w:val="1E3A8A"/>
          <w:b/>
        </w:rPr>
        <w:t xml:space="preserve">● </w:t>
      </w:r>
      <w:r>
        <w:rPr>
          <w:b/>
          <w:sz w:val="22"/>
          <w:color w:val="0F172A"/>
        </w:rPr>
        <w:t xml:space="preserve">Firmas: </w:t>
      </w:r>
      <w:r>
        <w:rPr>
          <w:sz w:val="22"/>
          <w:color w:val="334155"/>
        </w:rPr>
        <w:t xml:space="preserve">Firmas Corporativas:</w:t>
      </w:r>
    </w:p>
    <w:p>
      <w:pPr>
        <w:pStyle w:val="ListParagraph"/>
        <w:numPr>
          <w:ilvl w:val="1"/>
        </w:numPr>
        <w:ind w:left="1080" w:hanging="360"/>
        <w:spacing w:after="80" w:line="260" w:lineRule="auto"/>
      </w:pPr>
      <w:r>
        <w:rPr>
          <w:color w:val="1E3A8A"/>
          <w:b/>
        </w:rPr>
        <w:t xml:space="preserve">● </w:t>
      </w:r>
      <w:r>
        <w:rPr>
          <w:sz w:val="22"/>
          <w:color w:val="334155"/>
        </w:rPr>
        <w:t xml:space="preserve">Preconfiguradas a nombre de FABRICIO DEL AGUILA (Sistemas) y RICARDO INGA (Gerente Corporativo).</w:t>
      </w:r>
    </w:p>
    <w:tbl>
      <w:tblPr>
        <w:tblW w:w="9360" w:type="dxa"/>
        <w:tblBorders>
          <w:top w:val="none"/>
          <w:left w:val="single" w:sz="36" w:color="16A34A"/>
          <w:bottom w:val="none"/>
          <w:right w:val="none"/>
        </w:tblBorders>
        <w:tblCellMar>
          <w:top w:w="160" w:type="dxa"/>
          <w:left w:w="220" w:type="dxa"/>
          <w:bottom w:w="160" w:type="dxa"/>
          <w:right w:w="220" w:type="dxa"/>
        </w:tblCellMar>
      </w:tblPr>
      <w:tr>
        <w:tc>
          <w:tcPr>
            <w:tcW w:w="9360" w:type="dxa"/>
            <w:shd w:val="clear" w:color="auto" w:fill="F0FDF4"/>
          </w:tcPr>
          <w:p>
            <w:pPr>
              <w:spacing w:after="60"/>
            </w:pPr>
            <w:r>
              <w:rPr>
                <w:b/>
                <w:sz w:val="22"/>
                <w:color w:val="15803D"/>
              </w:rPr>
              <w:t>NOMENCLATURA AUTOMÁTICA DE ARCHIVOS:</w:t>
            </w:r>
          </w:p>
          <w:p>
            <w:pPr>
              <w:spacing w:after="0"/>
            </w:pPr>
            <w:r>
              <w:rPr>
                <w:sz w:val="20"/>
                <w:color w:val="334155"/>
              </w:rPr>
              <w:t>Al presionar 'Guardar Documento en el Historial', el sistema genera un PDF estandarizado con el formato:
OC_AAAAMMDD-XXXX.pdf (Ejemplo: OC_20260831-0152.pdf)
El documento se guarda en el servidor y se abre automáticamente en una nueva pestaña para su impresión o envío.</w:t>
            </w:r>
          </w:p>
        </w:tc>
      </w:tr>
    </w:tbl>
    <w:p>
      <w:pPr>
        <w:spacing w:after="120"/>
      </w:pPr>
    </w:p>
    <w:p>
      <w:pPr>
        <w:spacing w:before="240" w:after="120"/>
      </w:pPr>
      <w:r>
        <w:rPr>
          <w:rFonts w:ascii="Segoe UI" w:hAnsi="Segoe UI"/>
          <w:b/>
          <w:sz w:val="26"/>
          <w:szCs w:val="26"/>
          <w:color w:val="0369A1"/>
        </w:rPr>
        <w:t>2.2 Registro de Guías de Baja (BAJA)</w:t>
      </w:r>
    </w:p>
    <w:p>
      <w:pPr>
        <w:spacing w:before="0" w:after="140" w:line="276" w:lineRule="auto"/>
      </w:pPr>
      <w:r>
        <w:rPr>
          <w:rFonts w:ascii="Segoe UI" w:hAnsi="Segoe UI"/>
          <w:sz w:val="22"/>
          <w:szCs w:val="22"/>
          <w:color w:val="334155"/>
        </w:rPr>
        <w:t xml:space="preserve">Permite sustentar la salida, traslado o desecho de equipos tecnológicos defectuosos u obsoletos (laptops, monitores, servidores, repuestos). Asigna un correlativo con el prefijo BAJA_AAAAMMDD-XXXX.pdf.</w:t>
      </w:r>
    </w:p>
    <w:p>
      <w:pPr>
        <w:spacing w:before="240" w:after="120"/>
      </w:pPr>
      <w:r>
        <w:rPr>
          <w:rFonts w:ascii="Segoe UI" w:hAnsi="Segoe UI"/>
          <w:b/>
          <w:sz w:val="26"/>
          <w:szCs w:val="26"/>
          <w:color w:val="0369A1"/>
        </w:rPr>
        <w:t>2.3 Carga de Facturas del Proveedor (Paso Crucial)</w:t>
      </w:r>
    </w:p>
    <w:p>
      <w:pPr>
        <w:spacing w:before="0" w:after="140" w:line="276" w:lineRule="auto"/>
      </w:pPr>
      <w:r>
        <w:rPr>
          <w:rFonts w:ascii="Segoe UI" w:hAnsi="Segoe UI"/>
          <w:sz w:val="22"/>
          <w:szCs w:val="22"/>
          <w:color w:val="334155"/>
        </w:rPr>
        <w:t xml:space="preserve">Cuando el proveedor entrega los bienes y emite la factura electrónica (PDF), el usuario de TI debe realizar la carga inmediata en el sistema:</w:t>
      </w:r>
    </w:p>
    <w:p>
      <w:pPr>
        <w:pStyle w:val="ListParagraph"/>
        <w:numPr>
          <w:ilvl w:val="0"/>
        </w:numPr>
        <w:ind w:left="720" w:hanging="360"/>
        <w:spacing w:after="80" w:line="260" w:lineRule="auto"/>
      </w:pPr>
      <w:r>
        <w:rPr>
          <w:color w:val="1E3A8A"/>
          <w:b/>
        </w:rPr>
        <w:t xml:space="preserve">● </w:t>
      </w:r>
      <w:r>
        <w:rPr>
          <w:b/>
          <w:sz w:val="22"/>
          <w:color w:val="0F172A"/>
        </w:rPr>
        <w:t xml:space="preserve">Paso 1: </w:t>
      </w:r>
      <w:r>
        <w:rPr>
          <w:sz w:val="22"/>
          <w:color w:val="334155"/>
        </w:rPr>
        <w:t xml:space="preserve">1. Ingresar al módulo 'Historial'.</w:t>
      </w:r>
    </w:p>
    <w:p>
      <w:pPr>
        <w:pStyle w:val="ListParagraph"/>
        <w:numPr>
          <w:ilvl w:val="0"/>
        </w:numPr>
        <w:ind w:left="720" w:hanging="360"/>
        <w:spacing w:after="80" w:line="260" w:lineRule="auto"/>
      </w:pPr>
      <w:r>
        <w:rPr>
          <w:color w:val="1E3A8A"/>
          <w:b/>
        </w:rPr>
        <w:t xml:space="preserve">● </w:t>
      </w:r>
      <w:r>
        <w:rPr>
          <w:b/>
          <w:sz w:val="22"/>
          <w:color w:val="0F172A"/>
        </w:rPr>
        <w:t xml:space="preserve">Paso 2: </w:t>
      </w:r>
      <w:r>
        <w:rPr>
          <w:sz w:val="22"/>
          <w:color w:val="334155"/>
        </w:rPr>
        <w:t xml:space="preserve">2. Ubicar la Orden de Compra correspondiente en la columna izquierda.</w:t>
      </w:r>
    </w:p>
    <w:p>
      <w:pPr>
        <w:pStyle w:val="ListParagraph"/>
        <w:numPr>
          <w:ilvl w:val="0"/>
        </w:numPr>
        <w:ind w:left="720" w:hanging="360"/>
        <w:spacing w:after="80" w:line="260" w:lineRule="auto"/>
      </w:pPr>
      <w:r>
        <w:rPr>
          <w:color w:val="1E3A8A"/>
          <w:b/>
        </w:rPr>
        <w:t xml:space="preserve">● </w:t>
      </w:r>
      <w:r>
        <w:rPr>
          <w:b/>
          <w:sz w:val="22"/>
          <w:color w:val="0F172A"/>
        </w:rPr>
        <w:t xml:space="preserve">Paso 3: </w:t>
      </w:r>
      <w:r>
        <w:rPr>
          <w:sz w:val="22"/>
          <w:color w:val="334155"/>
        </w:rPr>
        <w:t xml:space="preserve">3. Hacer clic en el botón azul 'Subir Factura'.</w:t>
      </w:r>
    </w:p>
    <w:p>
      <w:pPr>
        <w:pStyle w:val="ListParagraph"/>
        <w:numPr>
          <w:ilvl w:val="0"/>
        </w:numPr>
        <w:ind w:left="720" w:hanging="360"/>
        <w:spacing w:after="80" w:line="260" w:lineRule="auto"/>
      </w:pPr>
      <w:r>
        <w:rPr>
          <w:color w:val="1E3A8A"/>
          <w:b/>
        </w:rPr>
        <w:t xml:space="preserve">● </w:t>
      </w:r>
      <w:r>
        <w:rPr>
          <w:b/>
          <w:sz w:val="22"/>
          <w:color w:val="0F172A"/>
        </w:rPr>
        <w:t xml:space="preserve">Paso 4: </w:t>
      </w:r>
      <w:r>
        <w:rPr>
          <w:sz w:val="22"/>
          <w:color w:val="334155"/>
        </w:rPr>
        <w:t xml:space="preserve">4. Seleccionar el archivo PDF de la factura desde su computadora y confirmar.</w:t>
      </w:r>
    </w:p>
    <w:p>
      <w:pPr>
        <w:pStyle w:val="ListParagraph"/>
        <w:numPr>
          <w:ilvl w:val="0"/>
        </w:numPr>
        <w:ind w:left="720" w:hanging="360"/>
        <w:spacing w:after="80" w:line="260" w:lineRule="auto"/>
      </w:pPr>
      <w:r>
        <w:rPr>
          <w:color w:val="1E3A8A"/>
          <w:b/>
        </w:rPr>
        <w:t xml:space="preserve">● </w:t>
      </w:r>
      <w:r>
        <w:rPr>
          <w:b/>
          <w:sz w:val="22"/>
          <w:color w:val="0F172A"/>
        </w:rPr>
        <w:t xml:space="preserve">Resultado: </w:t>
      </w:r>
      <w:r>
        <w:rPr>
          <w:sz w:val="22"/>
          <w:color w:val="334155"/>
        </w:rPr>
        <w:t xml:space="preserve">5. El botón cambiará automáticamente a color verde 'Ver Factura' y habilitará la opción de 'Reemplazar' en caso de error.</w:t>
      </w:r>
    </w:p>
    <w:tbl>
      <w:tblPr>
        <w:tblW w:w="9360" w:type="dxa"/>
        <w:tblBorders>
          <w:top w:val="none"/>
          <w:left w:val="single" w:sz="36" w:color="D97706"/>
          <w:bottom w:val="none"/>
          <w:right w:val="none"/>
        </w:tblBorders>
        <w:tblCellMar>
          <w:top w:w="160" w:type="dxa"/>
          <w:left w:w="220" w:type="dxa"/>
          <w:bottom w:w="160" w:type="dxa"/>
          <w:right w:w="220" w:type="dxa"/>
        </w:tblCellMar>
      </w:tblPr>
      <w:tr>
        <w:tc>
          <w:tcPr>
            <w:tcW w:w="9360" w:type="dxa"/>
            <w:shd w:val="clear" w:color="auto" w:fill="FFFBEB"/>
          </w:tcPr>
          <w:p>
            <w:pPr>
              <w:spacing w:after="60"/>
            </w:pPr>
            <w:r>
              <w:rPr>
                <w:b/>
                <w:sz w:val="22"/>
                <w:color w:val="B45309"/>
              </w:rPr>
              <w:t>IMPORTANCIA PARA CONTABILIDAD:</w:t>
            </w:r>
          </w:p>
          <w:p>
            <w:pPr>
              <w:spacing w:after="0"/>
            </w:pPr>
            <w:r>
              <w:rPr>
                <w:sz w:val="20"/>
                <w:color w:val="334155"/>
              </w:rPr>
              <w:t>Si el usuario de TI no sube la factura al sistema, Contabilidad no podrá validar el comprobante ni proceder con la programación del pago. Este paso es el disparador del circuito financiero.</w:t>
            </w:r>
          </w:p>
        </w:tc>
      </w:tr>
    </w:tbl>
    <w:p>
      <w:pPr>
        <w:spacing w:after="120"/>
      </w:pPr>
    </w:p>
    <w:p>
      <w:pPr>
        <w:spacing w:before="360" w:after="160"/>
        <w:pBdr>
          <w:bottom w:val="single" w:sz="14" w:space="6" w:color="1E3A8A"/>
        </w:pBdr>
      </w:pPr>
      <w:r>
        <w:rPr>
          <w:rFonts w:ascii="Segoe UI" w:hAnsi="Segoe UI"/>
          <w:b/>
          <w:sz w:val="32"/>
          <w:szCs w:val="32"/>
          <w:color w:val="1E3A8A"/>
        </w:rPr>
        <w:t>3. MÓDULO DE CONTABILIDAD (EMISIÓN MULTI-EMPRESA)</w:t>
      </w:r>
    </w:p>
    <w:p>
      <w:pPr>
        <w:spacing w:before="0" w:after="140" w:line="276" w:lineRule="auto"/>
      </w:pPr>
      <w:r>
        <w:rPr>
          <w:rFonts w:ascii="Segoe UI" w:hAnsi="Segoe UI"/>
          <w:sz w:val="22"/>
          <w:szCs w:val="22"/>
          <w:color w:val="334155"/>
        </w:rPr>
        <w:t xml:space="preserve">El módulo de Contabilidad tiene un alcance integral en la empresa. Se utiliza para emitir Órdenes de Pago (OP) correspondientes tanto a las compras de TI como a servicios generales, suministros, honorarios y adquisiciones de todas las empresas del Grupo Medical.</w:t>
      </w:r>
    </w:p>
    <w:p>
      <w:pPr>
        <w:spacing w:before="240" w:after="120"/>
      </w:pPr>
      <w:r>
        <w:rPr>
          <w:rFonts w:ascii="Segoe UI" w:hAnsi="Segoe UI"/>
          <w:b/>
          <w:sz w:val="26"/>
          <w:szCs w:val="26"/>
          <w:color w:val="0369A1"/>
        </w:rPr>
        <w:t>3.1 Emisión de Órdenes de Pago (OP)</w:t>
      </w:r>
    </w:p>
    <w:p>
      <w:pPr>
        <w:spacing w:before="0" w:after="140" w:line="276" w:lineRule="auto"/>
      </w:pPr>
      <w:r>
        <w:rPr>
          <w:rFonts w:ascii="Segoe UI" w:hAnsi="Segoe UI"/>
          <w:sz w:val="22"/>
          <w:szCs w:val="22"/>
          <w:color w:val="334155"/>
        </w:rPr>
        <w:t xml:space="preserve">Al ingresar a 'Orden de Pago', el usuario contable registra el detalle del comprobante a cancelar:</w:t>
      </w:r>
    </w:p>
    <w:p>
      <w:pPr>
        <w:pStyle w:val="ListParagraph"/>
        <w:numPr>
          <w:ilvl w:val="0"/>
        </w:numPr>
        <w:ind w:left="720" w:hanging="360"/>
        <w:spacing w:after="80" w:line="260" w:lineRule="auto"/>
      </w:pPr>
      <w:r>
        <w:rPr>
          <w:color w:val="1E3A8A"/>
          <w:b/>
        </w:rPr>
        <w:t xml:space="preserve">● </w:t>
      </w:r>
      <w:r>
        <w:rPr>
          <w:b/>
          <w:sz w:val="22"/>
          <w:color w:val="0F172A"/>
        </w:rPr>
        <w:t xml:space="preserve">Razón Social: </w:t>
      </w:r>
      <w:r>
        <w:rPr>
          <w:sz w:val="22"/>
          <w:color w:val="334155"/>
        </w:rPr>
        <w:t xml:space="preserve">Selección de Empresa Emisora: Define de qué cuenta saldrá el dinero y ajusta el correlativo.</w:t>
      </w:r>
    </w:p>
    <w:p>
      <w:pPr>
        <w:pStyle w:val="ListParagraph"/>
        <w:numPr>
          <w:ilvl w:val="0"/>
        </w:numPr>
        <w:ind w:left="720" w:hanging="360"/>
        <w:spacing w:after="80" w:line="260" w:lineRule="auto"/>
      </w:pPr>
      <w:r>
        <w:rPr>
          <w:color w:val="1E3A8A"/>
          <w:b/>
        </w:rPr>
        <w:t xml:space="preserve">● </w:t>
      </w:r>
      <w:r>
        <w:rPr>
          <w:b/>
          <w:sz w:val="22"/>
          <w:color w:val="0F172A"/>
        </w:rPr>
        <w:t xml:space="preserve">Tabla de Pagos: </w:t>
      </w:r>
      <w:r>
        <w:rPr>
          <w:sz w:val="22"/>
          <w:color w:val="334155"/>
        </w:rPr>
        <w:t xml:space="preserve">Detalle y Comprobante: Descripción del concepto y número de factura física/electrónica (ej. E001-422).</w:t>
      </w:r>
    </w:p>
    <w:p>
      <w:pPr>
        <w:pStyle w:val="ListParagraph"/>
        <w:numPr>
          <w:ilvl w:val="0"/>
        </w:numPr>
        <w:ind w:left="720" w:hanging="360"/>
        <w:spacing w:after="80" w:line="260" w:lineRule="auto"/>
      </w:pPr>
      <w:r>
        <w:rPr>
          <w:color w:val="1E3A8A"/>
          <w:b/>
        </w:rPr>
        <w:t xml:space="preserve">● </w:t>
      </w:r>
      <w:r>
        <w:rPr>
          <w:b/>
          <w:sz w:val="22"/>
          <w:color w:val="0F172A"/>
        </w:rPr>
        <w:t xml:space="preserve">Datos Bancarios: </w:t>
      </w:r>
      <w:r>
        <w:rPr>
          <w:sz w:val="22"/>
          <w:color w:val="334155"/>
        </w:rPr>
        <w:t xml:space="preserve">Cuentas de Destino: Banco, moneda (Soles / Dólares) y número de cuenta del beneficiario.</w:t>
      </w:r>
    </w:p>
    <w:p>
      <w:pPr>
        <w:spacing w:before="240" w:after="120"/>
      </w:pPr>
      <w:r>
        <w:rPr>
          <w:rFonts w:ascii="Segoe UI" w:hAnsi="Segoe UI"/>
          <w:b/>
          <w:sz w:val="26"/>
          <w:szCs w:val="26"/>
          <w:color w:val="0369A1"/>
        </w:rPr>
        <w:t>3.2 Distribución de Prefijos y Numeración por Empresa</w:t>
      </w:r>
    </w:p>
    <w:p>
      <w:pPr>
        <w:spacing w:before="0" w:after="140" w:line="276" w:lineRule="auto"/>
      </w:pPr>
      <w:r>
        <w:rPr>
          <w:rFonts w:ascii="Segoe UI" w:hAnsi="Segoe UI"/>
          <w:sz w:val="22"/>
          <w:szCs w:val="22"/>
          <w:color w:val="334155"/>
        </w:rPr>
        <w:t xml:space="preserve">Para garantizar un estricto orden contable, el sistema clasifica las Órdenes de Pago con prefijos diferenciados en el servidor según la Razón Social seleccionada:</w:t>
      </w:r>
    </w:p>
    <w:tbl>
      <w:tblPr>
        <w:tblW w:w="936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60" w:type="dxa"/>
          <w:bottom w:w="120" w:type="dxa"/>
          <w:right w:w="160" w:type="dxa"/>
        </w:tblCellMar>
      </w:tblPr>
      <w:tr>
        <w:trPr>
          <w:tblHeader/>
        </w:trPr>
        <w:tc>
          <w:tcPr>
            <w:tcW w:w="2800" w:type="dxa"/>
            <w:shd w:val="clear" w:color="auto" w:fill="1E3A8A"/>
          </w:tcPr>
          <w:p>
            <w:pPr>
              <w:spacing w:after="40" w:before="40"/>
            </w:pPr>
            <w:r>
              <w:rPr>
                <w:b/>
                <w:sz w:val="20"/>
                <w:color w:val="FFFFFF"/>
              </w:rPr>
              <w:t>Empresa Emisora</w:t>
            </w:r>
          </w:p>
        </w:tc>
        <w:tc>
          <w:tcPr>
            <w:tcW w:w="1200" w:type="dxa"/>
            <w:shd w:val="clear" w:color="auto" w:fill="1E3A8A"/>
          </w:tcPr>
          <w:p>
            <w:pPr>
              <w:spacing w:after="40" w:before="40"/>
            </w:pPr>
            <w:r>
              <w:rPr>
                <w:b/>
                <w:sz w:val="20"/>
                <w:color w:val="FFFFFF"/>
              </w:rPr>
              <w:t>Prefijo</w:t>
            </w:r>
          </w:p>
        </w:tc>
        <w:tc>
          <w:tcPr>
            <w:tcW w:w="2400" w:type="dxa"/>
            <w:shd w:val="clear" w:color="auto" w:fill="1E3A8A"/>
          </w:tcPr>
          <w:p>
            <w:pPr>
              <w:spacing w:after="40" w:before="40"/>
            </w:pPr>
            <w:r>
              <w:rPr>
                <w:b/>
                <w:sz w:val="20"/>
                <w:color w:val="FFFFFF"/>
              </w:rPr>
              <w:t>Formato de Archivo</w:t>
            </w:r>
          </w:p>
        </w:tc>
        <w:tc>
          <w:tcPr>
            <w:tcW w:w="2960" w:type="dxa"/>
            <w:shd w:val="clear" w:color="auto" w:fill="1E3A8A"/>
          </w:tcPr>
          <w:p>
            <w:pPr>
              <w:spacing w:after="40" w:before="40"/>
            </w:pPr>
            <w:r>
              <w:rPr>
                <w:b/>
                <w:sz w:val="20"/>
                <w:color w:val="FFFFFF"/>
              </w:rPr>
              <w:t>Control de Secuencia</w:t>
            </w:r>
          </w:p>
        </w:tc>
      </w:tr>
      <w:tr>
        <w:tc>
          <w:tcPr>
            <w:tcW w:w="2800" w:type="dxa"/>
            <w:shd w:val="clear" w:color="auto" w:fill="FFFFFF"/>
          </w:tcPr>
          <w:p>
            <w:pPr>
              <w:spacing w:after="40" w:before="40"/>
            </w:pPr>
            <w:r>
              <w:rPr>
                <w:sz w:val="20"/>
                <w:color w:val="1E293B"/>
              </w:rPr>
              <w:t>DENTPLUS S.A.C.</w:t>
            </w:r>
          </w:p>
        </w:tc>
        <w:tc>
          <w:tcPr>
            <w:tcW w:w="1200" w:type="dxa"/>
            <w:shd w:val="clear" w:color="auto" w:fill="FFFFFF"/>
          </w:tcPr>
          <w:p>
            <w:pPr>
              <w:spacing w:after="40" w:before="40"/>
            </w:pPr>
            <w:r>
              <w:rPr>
                <w:sz w:val="20"/>
                <w:color w:val="1E293B"/>
              </w:rPr>
              <w:t>OP_DP</w:t>
            </w:r>
          </w:p>
        </w:tc>
        <w:tc>
          <w:tcPr>
            <w:tcW w:w="2400" w:type="dxa"/>
            <w:shd w:val="clear" w:color="auto" w:fill="FFFFFF"/>
          </w:tcPr>
          <w:p>
            <w:pPr>
              <w:spacing w:after="40" w:before="40"/>
            </w:pPr>
            <w:r>
              <w:rPr>
                <w:sz w:val="20"/>
                <w:color w:val="1E293B"/>
              </w:rPr>
              <w:t>OP_DP_XXXX.pdf</w:t>
            </w:r>
          </w:p>
        </w:tc>
        <w:tc>
          <w:tcPr>
            <w:tcW w:w="2960" w:type="dxa"/>
            <w:shd w:val="clear" w:color="auto" w:fill="FFFFFF"/>
          </w:tcPr>
          <w:p>
            <w:pPr>
              <w:spacing w:after="40" w:before="40"/>
            </w:pPr>
            <w:r>
              <w:rPr>
                <w:sz w:val="20"/>
                <w:color w:val="1E293B"/>
              </w:rPr>
              <w:t>Voucher correlativo Dentplus</w:t>
            </w:r>
          </w:p>
        </w:tc>
      </w:tr>
      <w:tr>
        <w:tc>
          <w:tcPr>
            <w:tcW w:w="2800" w:type="dxa"/>
            <w:shd w:val="clear" w:color="auto" w:fill="F8FAFC"/>
          </w:tcPr>
          <w:p>
            <w:pPr>
              <w:spacing w:after="40" w:before="40"/>
            </w:pPr>
            <w:r>
              <w:rPr>
                <w:sz w:val="20"/>
                <w:color w:val="1E293B"/>
              </w:rPr>
              <w:t>DENTDIGITAL / DENT...</w:t>
            </w:r>
          </w:p>
        </w:tc>
        <w:tc>
          <w:tcPr>
            <w:tcW w:w="1200" w:type="dxa"/>
            <w:shd w:val="clear" w:color="auto" w:fill="F8FAFC"/>
          </w:tcPr>
          <w:p>
            <w:pPr>
              <w:spacing w:after="40" w:before="40"/>
            </w:pPr>
            <w:r>
              <w:rPr>
                <w:sz w:val="20"/>
                <w:color w:val="1E293B"/>
              </w:rPr>
              <w:t>OP_DD</w:t>
            </w:r>
          </w:p>
        </w:tc>
        <w:tc>
          <w:tcPr>
            <w:tcW w:w="2400" w:type="dxa"/>
            <w:shd w:val="clear" w:color="auto" w:fill="F8FAFC"/>
          </w:tcPr>
          <w:p>
            <w:pPr>
              <w:spacing w:after="40" w:before="40"/>
            </w:pPr>
            <w:r>
              <w:rPr>
                <w:sz w:val="20"/>
                <w:color w:val="1E293B"/>
              </w:rPr>
              <w:t>OP_DD_XXXX.pdf</w:t>
            </w:r>
          </w:p>
        </w:tc>
        <w:tc>
          <w:tcPr>
            <w:tcW w:w="2960" w:type="dxa"/>
            <w:shd w:val="clear" w:color="auto" w:fill="F8FAFC"/>
          </w:tcPr>
          <w:p>
            <w:pPr>
              <w:spacing w:after="40" w:before="40"/>
            </w:pPr>
            <w:r>
              <w:rPr>
                <w:sz w:val="20"/>
                <w:color w:val="1E293B"/>
              </w:rPr>
              <w:t>Voucher correlativo Dentdigital</w:t>
            </w:r>
          </w:p>
        </w:tc>
      </w:tr>
      <w:tr>
        <w:tc>
          <w:tcPr>
            <w:tcW w:w="2800" w:type="dxa"/>
            <w:shd w:val="clear" w:color="auto" w:fill="FFFFFF"/>
          </w:tcPr>
          <w:p>
            <w:pPr>
              <w:spacing w:after="40" w:before="40"/>
            </w:pPr>
            <w:r>
              <w:rPr>
                <w:sz w:val="20"/>
                <w:color w:val="1E293B"/>
              </w:rPr>
              <w:t>MEDICAL DIAGNOSTIC S.A.C.</w:t>
            </w:r>
          </w:p>
        </w:tc>
        <w:tc>
          <w:tcPr>
            <w:tcW w:w="1200" w:type="dxa"/>
            <w:shd w:val="clear" w:color="auto" w:fill="FFFFFF"/>
          </w:tcPr>
          <w:p>
            <w:pPr>
              <w:spacing w:after="40" w:before="40"/>
            </w:pPr>
            <w:r>
              <w:rPr>
                <w:sz w:val="20"/>
                <w:color w:val="1E293B"/>
              </w:rPr>
              <w:t>OP_DX</w:t>
            </w:r>
          </w:p>
        </w:tc>
        <w:tc>
          <w:tcPr>
            <w:tcW w:w="2400" w:type="dxa"/>
            <w:shd w:val="clear" w:color="auto" w:fill="FFFFFF"/>
          </w:tcPr>
          <w:p>
            <w:pPr>
              <w:spacing w:after="40" w:before="40"/>
            </w:pPr>
            <w:r>
              <w:rPr>
                <w:sz w:val="20"/>
                <w:color w:val="1E293B"/>
              </w:rPr>
              <w:t>OP_DX_XXXX.pdf</w:t>
            </w:r>
          </w:p>
        </w:tc>
        <w:tc>
          <w:tcPr>
            <w:tcW w:w="2960" w:type="dxa"/>
            <w:shd w:val="clear" w:color="auto" w:fill="FFFFFF"/>
          </w:tcPr>
          <w:p>
            <w:pPr>
              <w:spacing w:after="40" w:before="40"/>
            </w:pPr>
            <w:r>
              <w:rPr>
                <w:sz w:val="20"/>
                <w:color w:val="1E293B"/>
              </w:rPr>
              <w:t>Voucher correlativo Medical Diagnostic</w:t>
            </w:r>
          </w:p>
        </w:tc>
      </w:tr>
      <w:tr>
        <w:tc>
          <w:tcPr>
            <w:tcW w:w="2800" w:type="dxa"/>
            <w:shd w:val="clear" w:color="auto" w:fill="F8FAFC"/>
          </w:tcPr>
          <w:p>
            <w:pPr>
              <w:spacing w:after="40" w:before="40"/>
            </w:pPr>
            <w:r>
              <w:rPr>
                <w:sz w:val="20"/>
                <w:color w:val="1E293B"/>
              </w:rPr>
              <w:t>ONCO TEST S.A.C.</w:t>
            </w:r>
          </w:p>
        </w:tc>
        <w:tc>
          <w:tcPr>
            <w:tcW w:w="1200" w:type="dxa"/>
            <w:shd w:val="clear" w:color="auto" w:fill="F8FAFC"/>
          </w:tcPr>
          <w:p>
            <w:pPr>
              <w:spacing w:after="40" w:before="40"/>
            </w:pPr>
            <w:r>
              <w:rPr>
                <w:sz w:val="20"/>
                <w:color w:val="1E293B"/>
              </w:rPr>
              <w:t>OP_OT</w:t>
            </w:r>
          </w:p>
        </w:tc>
        <w:tc>
          <w:tcPr>
            <w:tcW w:w="2400" w:type="dxa"/>
            <w:shd w:val="clear" w:color="auto" w:fill="F8FAFC"/>
          </w:tcPr>
          <w:p>
            <w:pPr>
              <w:spacing w:after="40" w:before="40"/>
            </w:pPr>
            <w:r>
              <w:rPr>
                <w:sz w:val="20"/>
                <w:color w:val="1E293B"/>
              </w:rPr>
              <w:t>OP_OT_XXXX.pdf</w:t>
            </w:r>
          </w:p>
        </w:tc>
        <w:tc>
          <w:tcPr>
            <w:tcW w:w="2960" w:type="dxa"/>
            <w:shd w:val="clear" w:color="auto" w:fill="F8FAFC"/>
          </w:tcPr>
          <w:p>
            <w:pPr>
              <w:spacing w:after="40" w:before="40"/>
            </w:pPr>
            <w:r>
              <w:rPr>
                <w:sz w:val="20"/>
                <w:color w:val="1E293B"/>
              </w:rPr>
              <w:t>Voucher correlativo Onco Test</w:t>
            </w:r>
          </w:p>
        </w:tc>
      </w:tr>
      <w:tr>
        <w:tc>
          <w:tcPr>
            <w:tcW w:w="2800" w:type="dxa"/>
            <w:shd w:val="clear" w:color="auto" w:fill="FFFFFF"/>
          </w:tcPr>
          <w:p>
            <w:pPr>
              <w:spacing w:after="40" w:before="40"/>
            </w:pPr>
            <w:r>
              <w:rPr>
                <w:sz w:val="20"/>
                <w:color w:val="1E293B"/>
              </w:rPr>
              <w:t>OXXO PHARMA / OXXO...</w:t>
            </w:r>
          </w:p>
        </w:tc>
        <w:tc>
          <w:tcPr>
            <w:tcW w:w="1200" w:type="dxa"/>
            <w:shd w:val="clear" w:color="auto" w:fill="FFFFFF"/>
          </w:tcPr>
          <w:p>
            <w:pPr>
              <w:spacing w:after="40" w:before="40"/>
            </w:pPr>
            <w:r>
              <w:rPr>
                <w:sz w:val="20"/>
                <w:color w:val="1E293B"/>
              </w:rPr>
              <w:t>OP_OX</w:t>
            </w:r>
          </w:p>
        </w:tc>
        <w:tc>
          <w:tcPr>
            <w:tcW w:w="2400" w:type="dxa"/>
            <w:shd w:val="clear" w:color="auto" w:fill="FFFFFF"/>
          </w:tcPr>
          <w:p>
            <w:pPr>
              <w:spacing w:after="40" w:before="40"/>
            </w:pPr>
            <w:r>
              <w:rPr>
                <w:sz w:val="20"/>
                <w:color w:val="1E293B"/>
              </w:rPr>
              <w:t>OP_OX_XXXX.pdf</w:t>
            </w:r>
          </w:p>
        </w:tc>
        <w:tc>
          <w:tcPr>
            <w:tcW w:w="2960" w:type="dxa"/>
            <w:shd w:val="clear" w:color="auto" w:fill="FFFFFF"/>
          </w:tcPr>
          <w:p>
            <w:pPr>
              <w:spacing w:after="40" w:before="40"/>
            </w:pPr>
            <w:r>
              <w:rPr>
                <w:sz w:val="20"/>
                <w:color w:val="1E293B"/>
              </w:rPr>
              <w:t>Voucher correlativo Oxxo</w:t>
            </w:r>
          </w:p>
        </w:tc>
      </w:tr>
      <w:tr>
        <w:tc>
          <w:tcPr>
            <w:tcW w:w="2800" w:type="dxa"/>
            <w:shd w:val="clear" w:color="auto" w:fill="F8FAFC"/>
          </w:tcPr>
          <w:p>
            <w:pPr>
              <w:spacing w:after="40" w:before="40"/>
            </w:pPr>
            <w:r>
              <w:rPr>
                <w:sz w:val="20"/>
                <w:color w:val="1E293B"/>
              </w:rPr>
              <w:t>GRUPO MEDICAL / MED...</w:t>
            </w:r>
          </w:p>
        </w:tc>
        <w:tc>
          <w:tcPr>
            <w:tcW w:w="1200" w:type="dxa"/>
            <w:shd w:val="clear" w:color="auto" w:fill="F8FAFC"/>
          </w:tcPr>
          <w:p>
            <w:pPr>
              <w:spacing w:after="40" w:before="40"/>
            </w:pPr>
            <w:r>
              <w:rPr>
                <w:sz w:val="20"/>
                <w:color w:val="1E293B"/>
              </w:rPr>
              <w:t>OP_MED</w:t>
            </w:r>
          </w:p>
        </w:tc>
        <w:tc>
          <w:tcPr>
            <w:tcW w:w="2400" w:type="dxa"/>
            <w:shd w:val="clear" w:color="auto" w:fill="F8FAFC"/>
          </w:tcPr>
          <w:p>
            <w:pPr>
              <w:spacing w:after="40" w:before="40"/>
            </w:pPr>
            <w:r>
              <w:rPr>
                <w:sz w:val="20"/>
                <w:color w:val="1E293B"/>
              </w:rPr>
              <w:t>OP_MED_XXXX.pdf</w:t>
            </w:r>
          </w:p>
        </w:tc>
        <w:tc>
          <w:tcPr>
            <w:tcW w:w="2960" w:type="dxa"/>
            <w:shd w:val="clear" w:color="auto" w:fill="F8FAFC"/>
          </w:tcPr>
          <w:p>
            <w:pPr>
              <w:spacing w:after="40" w:before="40"/>
            </w:pPr>
            <w:r>
              <w:rPr>
                <w:sz w:val="20"/>
                <w:color w:val="1E293B"/>
              </w:rPr>
              <w:t>Voucher correlativo Grupo Medical</w:t>
            </w:r>
          </w:p>
        </w:tc>
      </w:tr>
      <w:tr>
        <w:tc>
          <w:tcPr>
            <w:tcW w:w="2800" w:type="dxa"/>
            <w:shd w:val="clear" w:color="auto" w:fill="FFFFFF"/>
          </w:tcPr>
          <w:p>
            <w:pPr>
              <w:spacing w:after="40" w:before="40"/>
            </w:pPr>
            <w:r>
              <w:rPr>
                <w:sz w:val="20"/>
                <w:color w:val="1E293B"/>
              </w:rPr>
              <w:t>J&amp;R ASOCIADOS...</w:t>
            </w:r>
          </w:p>
        </w:tc>
        <w:tc>
          <w:tcPr>
            <w:tcW w:w="1200" w:type="dxa"/>
            <w:shd w:val="clear" w:color="auto" w:fill="FFFFFF"/>
          </w:tcPr>
          <w:p>
            <w:pPr>
              <w:spacing w:after="40" w:before="40"/>
            </w:pPr>
            <w:r>
              <w:rPr>
                <w:sz w:val="20"/>
                <w:color w:val="1E293B"/>
              </w:rPr>
              <w:t>OP_JyR</w:t>
            </w:r>
          </w:p>
        </w:tc>
        <w:tc>
          <w:tcPr>
            <w:tcW w:w="2400" w:type="dxa"/>
            <w:shd w:val="clear" w:color="auto" w:fill="FFFFFF"/>
          </w:tcPr>
          <w:p>
            <w:pPr>
              <w:spacing w:after="40" w:before="40"/>
            </w:pPr>
            <w:r>
              <w:rPr>
                <w:sz w:val="20"/>
                <w:color w:val="1E293B"/>
              </w:rPr>
              <w:t>OP_JyR_XXXX.pdf</w:t>
            </w:r>
          </w:p>
        </w:tc>
        <w:tc>
          <w:tcPr>
            <w:tcW w:w="2960" w:type="dxa"/>
            <w:shd w:val="clear" w:color="auto" w:fill="FFFFFF"/>
          </w:tcPr>
          <w:p>
            <w:pPr>
              <w:spacing w:after="40" w:before="40"/>
            </w:pPr>
            <w:r>
              <w:rPr>
                <w:sz w:val="20"/>
                <w:color w:val="1E293B"/>
              </w:rPr>
              <w:t>Voucher correlativo J&amp;R</w:t>
            </w:r>
          </w:p>
        </w:tc>
      </w:tr>
      <w:tr>
        <w:tc>
          <w:tcPr>
            <w:tcW w:w="2800" w:type="dxa"/>
            <w:shd w:val="clear" w:color="auto" w:fill="F8FAFC"/>
          </w:tcPr>
          <w:p>
            <w:pPr>
              <w:spacing w:after="40" w:before="40"/>
            </w:pPr>
            <w:r>
              <w:rPr>
                <w:sz w:val="20"/>
                <w:color w:val="1E293B"/>
              </w:rPr>
              <w:t>J&amp;L CONSULTORES...</w:t>
            </w:r>
          </w:p>
        </w:tc>
        <w:tc>
          <w:tcPr>
            <w:tcW w:w="1200" w:type="dxa"/>
            <w:shd w:val="clear" w:color="auto" w:fill="F8FAFC"/>
          </w:tcPr>
          <w:p>
            <w:pPr>
              <w:spacing w:after="40" w:before="40"/>
            </w:pPr>
            <w:r>
              <w:rPr>
                <w:sz w:val="20"/>
                <w:color w:val="1E293B"/>
              </w:rPr>
              <w:t>OP_JyL</w:t>
            </w:r>
          </w:p>
        </w:tc>
        <w:tc>
          <w:tcPr>
            <w:tcW w:w="2400" w:type="dxa"/>
            <w:shd w:val="clear" w:color="auto" w:fill="F8FAFC"/>
          </w:tcPr>
          <w:p>
            <w:pPr>
              <w:spacing w:after="40" w:before="40"/>
            </w:pPr>
            <w:r>
              <w:rPr>
                <w:sz w:val="20"/>
                <w:color w:val="1E293B"/>
              </w:rPr>
              <w:t>OP_JyL_XXXX.pdf</w:t>
            </w:r>
          </w:p>
        </w:tc>
        <w:tc>
          <w:tcPr>
            <w:tcW w:w="2960" w:type="dxa"/>
            <w:shd w:val="clear" w:color="auto" w:fill="F8FAFC"/>
          </w:tcPr>
          <w:p>
            <w:pPr>
              <w:spacing w:after="40" w:before="40"/>
            </w:pPr>
            <w:r>
              <w:rPr>
                <w:sz w:val="20"/>
                <w:color w:val="1E293B"/>
              </w:rPr>
              <w:t>Voucher correlativo J&amp;L</w:t>
            </w:r>
          </w:p>
        </w:tc>
      </w:tr>
      <w:tr>
        <w:tc>
          <w:tcPr>
            <w:tcW w:w="2800" w:type="dxa"/>
            <w:shd w:val="clear" w:color="auto" w:fill="FFFFFF"/>
          </w:tcPr>
          <w:p>
            <w:pPr>
              <w:spacing w:after="40" w:before="40"/>
            </w:pPr>
            <w:r>
              <w:rPr>
                <w:sz w:val="20"/>
                <w:color w:val="1E293B"/>
              </w:rPr>
              <w:t>Otras Razones Sociales</w:t>
            </w:r>
          </w:p>
        </w:tc>
        <w:tc>
          <w:tcPr>
            <w:tcW w:w="1200" w:type="dxa"/>
            <w:shd w:val="clear" w:color="auto" w:fill="FFFFFF"/>
          </w:tcPr>
          <w:p>
            <w:pPr>
              <w:spacing w:after="40" w:before="40"/>
            </w:pPr>
            <w:r>
              <w:rPr>
                <w:sz w:val="20"/>
                <w:color w:val="1E293B"/>
              </w:rPr>
              <w:t>OP</w:t>
            </w:r>
          </w:p>
        </w:tc>
        <w:tc>
          <w:tcPr>
            <w:tcW w:w="2400" w:type="dxa"/>
            <w:shd w:val="clear" w:color="auto" w:fill="FFFFFF"/>
          </w:tcPr>
          <w:p>
            <w:pPr>
              <w:spacing w:after="40" w:before="40"/>
            </w:pPr>
            <w:r>
              <w:rPr>
                <w:sz w:val="20"/>
                <w:color w:val="1E293B"/>
              </w:rPr>
              <w:t>OP_XXXX.pdf</w:t>
            </w:r>
          </w:p>
        </w:tc>
        <w:tc>
          <w:tcPr>
            <w:tcW w:w="2960" w:type="dxa"/>
            <w:shd w:val="clear" w:color="auto" w:fill="FFFFFF"/>
          </w:tcPr>
          <w:p>
            <w:pPr>
              <w:spacing w:after="40" w:before="40"/>
            </w:pPr>
            <w:r>
              <w:rPr>
                <w:sz w:val="20"/>
                <w:color w:val="1E293B"/>
              </w:rPr>
              <w:t>Voucher correlativo General</w:t>
            </w:r>
          </w:p>
        </w:tc>
      </w:tr>
    </w:tbl>
    <w:p>
      <w:pPr>
        <w:spacing w:after="160"/>
      </w:pPr>
    </w:p>
    <w:tbl>
      <w:tblPr>
        <w:tblW w:w="9360" w:type="dxa"/>
        <w:tblBorders>
          <w:top w:val="none"/>
          <w:left w:val="single" w:sz="36" w:color="2563EB"/>
          <w:bottom w:val="none"/>
          <w:right w:val="none"/>
        </w:tblBorders>
        <w:tblCellMar>
          <w:top w:w="160" w:type="dxa"/>
          <w:left w:w="220" w:type="dxa"/>
          <w:bottom w:w="160" w:type="dxa"/>
          <w:right w:w="220" w:type="dxa"/>
        </w:tblCellMar>
      </w:tblPr>
      <w:tr>
        <w:tc>
          <w:tcPr>
            <w:tcW w:w="9360" w:type="dxa"/>
            <w:shd w:val="clear" w:color="auto" w:fill="EFF6FF"/>
          </w:tcPr>
          <w:p>
            <w:pPr>
              <w:spacing w:after="60"/>
            </w:pPr>
            <w:r>
              <w:rPr>
                <w:b/>
                <w:sz w:val="22"/>
                <w:color w:val="1E40AF"/>
              </w:rPr>
              <w:t>INDEPENDENCIA DE VOUCHERS:</w:t>
            </w:r>
          </w:p>
          <w:p>
            <w:pPr>
              <w:spacing w:after="0"/>
            </w:pPr>
            <w:r>
              <w:rPr>
                <w:sz w:val="20"/>
                <w:color w:val="334155"/>
              </w:rPr>
              <w:t>Cada empresa emisora mantiene su propio contador independiente en la base de datos (ej. ONCO_0055, DX_0042). Esto permite que varias personas emitan pagos en simultáneo sin que los números se crucen.</w:t>
            </w:r>
          </w:p>
        </w:tc>
      </w:tr>
    </w:tbl>
    <w:p>
      <w:pPr>
        <w:spacing w:after="120"/>
      </w:pPr>
    </w:p>
    <w:p>
      <w:pPr>
        <w:spacing w:before="360" w:after="160"/>
        <w:pBdr>
          <w:bottom w:val="single" w:sz="14" w:space="6" w:color="1E3A8A"/>
        </w:pBdr>
      </w:pPr>
      <w:r>
        <w:rPr>
          <w:rFonts w:ascii="Segoe UI" w:hAnsi="Segoe UI"/>
          <w:b/>
          <w:sz w:val="32"/>
          <w:szCs w:val="32"/>
          <w:color w:val="1E3A8A"/>
        </w:rPr>
        <w:t>4. FLUJO DE SINCRONIZACIÓN TI &lt;-&gt; CONTABILIDAD</w:t>
      </w:r>
    </w:p>
    <w:p>
      <w:pPr>
        <w:spacing w:before="0" w:after="140" w:line="276" w:lineRule="auto"/>
      </w:pPr>
      <w:r>
        <w:rPr>
          <w:rFonts w:ascii="Segoe UI" w:hAnsi="Segoe UI"/>
          <w:sz w:val="22"/>
          <w:szCs w:val="22"/>
          <w:color w:val="334155"/>
        </w:rPr>
        <w:t xml:space="preserve">El principal valor del sistema radica en la sincronización automática entre las compras generadas por TI y los pagos programados por Contabilidad. A continuación se presenta el flujo operativo estandarizado:</w:t>
      </w:r>
    </w:p>
    <w:p>
      <w:pPr>
        <w:jc w:val="center"/>
        <w:spacing w:before="120" w:after="80"/>
      </w:pPr>
      <w:r>
        <w:drawing>
          <wp:inline xmlns:wp="http://schemas.openxmlformats.org/drawingml/2006/wordprocessingDrawing">
            <wp:extent cx="5800000" cy="2900000"/>
            <wp:docPr id="1" name="Picture"/>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DiagFlujo"/>
                    <a:stretch>
                      <a:fillRect/>
                    </a:stretch>
                  </pic:blipFill>
                  <pic:spPr>
                    <a:xfrm>
                      <a:off x="0" y="0"/>
                      <a:ext cx="5800000" cy="2900000"/>
                    </a:xfrm>
                    <a:prstGeom prst="rect">
                      <a:avLst/>
                    </a:prstGeom>
                  </pic:spPr>
                </pic:pic>
              </a:graphicData>
            </a:graphic>
          </wp:inline>
        </w:drawing>
      </w:r>
    </w:p>
    <w:p>
      <w:pPr>
        <w:jc w:val="center"/>
        <w:spacing w:before="0" w:after="180" w:line="276" w:lineRule="auto"/>
      </w:pPr>
      <w:r>
        <w:rPr>
          <w:rFonts w:ascii="Segoe UI" w:hAnsi="Segoe UI"/>
          <w:i/>
          <w:sz w:val="18"/>
          <w:szCs w:val="18"/>
          <w:color w:val="64748B"/>
        </w:rPr>
        <w:t xml:space="preserve">Figura 2: Flujo de trabajo y conciliación digital entre TI y Contabilidad.</w:t>
      </w:r>
    </w:p>
    <w:p>
      <w:pPr>
        <w:spacing w:before="240" w:after="120"/>
      </w:pPr>
      <w:r>
        <w:rPr>
          <w:rFonts w:ascii="Segoe UI" w:hAnsi="Segoe UI"/>
          <w:b/>
          <w:sz w:val="26"/>
          <w:szCs w:val="26"/>
          <w:color w:val="0369A1"/>
        </w:rPr>
        <w:t>4.1 Paso a Paso del Flujo de Trabajo</w:t>
      </w:r>
    </w:p>
    <w:p>
      <w:pPr>
        <w:pStyle w:val="ListParagraph"/>
        <w:numPr>
          <w:ilvl w:val="0"/>
        </w:numPr>
        <w:ind w:left="720" w:hanging="360"/>
        <w:spacing w:after="80" w:line="260" w:lineRule="auto"/>
      </w:pPr>
      <w:r>
        <w:rPr>
          <w:color w:val="1E3A8A"/>
          <w:b/>
        </w:rPr>
        <w:t xml:space="preserve">● </w:t>
      </w:r>
      <w:r>
        <w:rPr>
          <w:b/>
          <w:sz w:val="22"/>
          <w:color w:val="0F172A"/>
        </w:rPr>
        <w:t xml:space="preserve">Paso 1 (TI): </w:t>
      </w:r>
      <w:r>
        <w:rPr>
          <w:sz w:val="22"/>
          <w:color w:val="334155"/>
        </w:rPr>
        <w:t xml:space="preserve">El área de TI genera la Orden de Compra en el sistema (ej. OC_20260831-0152.pdf) y la envía al proveedor.</w:t>
      </w:r>
    </w:p>
    <w:p>
      <w:pPr>
        <w:pStyle w:val="ListParagraph"/>
        <w:numPr>
          <w:ilvl w:val="0"/>
        </w:numPr>
        <w:ind w:left="720" w:hanging="360"/>
        <w:spacing w:after="80" w:line="260" w:lineRule="auto"/>
      </w:pPr>
      <w:r>
        <w:rPr>
          <w:color w:val="1E3A8A"/>
          <w:b/>
        </w:rPr>
        <w:t xml:space="preserve">● </w:t>
      </w:r>
      <w:r>
        <w:rPr>
          <w:b/>
          <w:sz w:val="22"/>
          <w:color w:val="0F172A"/>
        </w:rPr>
        <w:t xml:space="preserve">Paso 2 (TI): </w:t>
      </w:r>
      <w:r>
        <w:rPr>
          <w:sz w:val="22"/>
          <w:color w:val="334155"/>
        </w:rPr>
        <w:t xml:space="preserve">El proveedor atiende el pedido y entrega la Factura Electrónica. TI accede a su Historial y la sube en el botón 'Subir Factura'.</w:t>
      </w:r>
    </w:p>
    <w:p>
      <w:pPr>
        <w:pStyle w:val="ListParagraph"/>
        <w:numPr>
          <w:ilvl w:val="0"/>
        </w:numPr>
        <w:ind w:left="720" w:hanging="360"/>
        <w:spacing w:after="80" w:line="260" w:lineRule="auto"/>
      </w:pPr>
      <w:r>
        <w:rPr>
          <w:color w:val="1E3A8A"/>
          <w:b/>
        </w:rPr>
        <w:t xml:space="preserve">● </w:t>
      </w:r>
      <w:r>
        <w:rPr>
          <w:b/>
          <w:sz w:val="22"/>
          <w:color w:val="0F172A"/>
        </w:rPr>
        <w:t xml:space="preserve">Paso 3 (Conta): </w:t>
      </w:r>
      <w:r>
        <w:rPr>
          <w:sz w:val="22"/>
          <w:color w:val="334155"/>
        </w:rPr>
        <w:t xml:space="preserve">Contabilidad crea la Orden de Pago (OP) asignando el monto y cuenta a abonar (ej. OP_OT_0055.pdf).</w:t>
      </w:r>
    </w:p>
    <w:p>
      <w:pPr>
        <w:pStyle w:val="ListParagraph"/>
        <w:numPr>
          <w:ilvl w:val="0"/>
        </w:numPr>
        <w:ind w:left="720" w:hanging="360"/>
        <w:spacing w:after="80" w:line="260" w:lineRule="auto"/>
      </w:pPr>
      <w:r>
        <w:rPr>
          <w:color w:val="1E3A8A"/>
          <w:b/>
        </w:rPr>
        <w:t xml:space="preserve">● </w:t>
      </w:r>
      <w:r>
        <w:rPr>
          <w:b/>
          <w:sz w:val="22"/>
          <w:color w:val="0F172A"/>
        </w:rPr>
        <w:t xml:space="preserve">Paso 4 (Conta): </w:t>
      </w:r>
      <w:r>
        <w:rPr>
          <w:sz w:val="22"/>
          <w:color w:val="334155"/>
        </w:rPr>
        <w:t xml:space="preserve">Contabilidad va a su Historial, hace clic en 'Vincular OC' en esa OP e introduce el código de la orden de TI (ej. OC_20260831-0152.pdf).</w:t>
      </w:r>
    </w:p>
    <w:p>
      <w:pPr>
        <w:pStyle w:val="ListParagraph"/>
        <w:numPr>
          <w:ilvl w:val="0"/>
        </w:numPr>
        <w:ind w:left="720" w:hanging="360"/>
        <w:spacing w:after="80" w:line="260" w:lineRule="auto"/>
      </w:pPr>
      <w:r>
        <w:rPr>
          <w:color w:val="1E3A8A"/>
          <w:b/>
        </w:rPr>
        <w:t xml:space="preserve">● </w:t>
      </w:r>
      <w:r>
        <w:rPr>
          <w:b/>
          <w:sz w:val="22"/>
          <w:color w:val="0F172A"/>
        </w:rPr>
        <w:t xml:space="preserve">Paso 5 (Sistema): </w:t>
      </w:r>
      <w:r>
        <w:rPr>
          <w:sz w:val="22"/>
          <w:color w:val="334155"/>
        </w:rPr>
        <w:t xml:space="preserve">El sistema valida el vínculo y actualiza el semáforo visual de auditoría en la pantalla de Contabilidad.</w:t>
      </w:r>
    </w:p>
    <w:p>
      <w:pPr>
        <w:spacing w:before="240" w:after="120"/>
      </w:pPr>
      <w:r>
        <w:rPr>
          <w:rFonts w:ascii="Segoe UI" w:hAnsi="Segoe UI"/>
          <w:b/>
          <w:sz w:val="26"/>
          <w:szCs w:val="26"/>
          <w:color w:val="0369A1"/>
        </w:rPr>
        <w:t>4.2 Semáforo de Estados en el Historial de Contabilidad</w:t>
      </w:r>
    </w:p>
    <w:p>
      <w:pPr>
        <w:spacing w:before="0" w:after="140" w:line="276" w:lineRule="auto"/>
      </w:pPr>
      <w:r>
        <w:rPr>
          <w:rFonts w:ascii="Segoe UI" w:hAnsi="Segoe UI"/>
          <w:sz w:val="22"/>
          <w:szCs w:val="22"/>
          <w:color w:val="334155"/>
        </w:rPr>
        <w:t xml:space="preserve">En la columna de Órdenes de Pago de Contabilidad, cada registro vinculado mostrará un estado gráfico:</w:t>
      </w:r>
    </w:p>
    <w:tbl>
      <w:tblPr>
        <w:tblW w:w="936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60" w:type="dxa"/>
          <w:bottom w:w="120" w:type="dxa"/>
          <w:right w:w="160" w:type="dxa"/>
        </w:tblCellMar>
      </w:tblPr>
      <w:tr>
        <w:trPr>
          <w:tblHeader/>
        </w:trPr>
        <w:tc>
          <w:tcPr>
            <w:tcW w:w="1500" w:type="dxa"/>
            <w:shd w:val="clear" w:color="auto" w:fill="1E3A8A"/>
          </w:tcPr>
          <w:p>
            <w:pPr>
              <w:spacing w:after="40" w:before="40"/>
            </w:pPr>
            <w:r>
              <w:rPr>
                <w:b/>
                <w:sz w:val="20"/>
                <w:color w:val="FFFFFF"/>
              </w:rPr>
              <w:t>Indicador</w:t>
            </w:r>
          </w:p>
        </w:tc>
        <w:tc>
          <w:tcPr>
            <w:tcW w:w="2000" w:type="dxa"/>
            <w:shd w:val="clear" w:color="auto" w:fill="1E3A8A"/>
          </w:tcPr>
          <w:p>
            <w:pPr>
              <w:spacing w:after="40" w:before="40"/>
            </w:pPr>
            <w:r>
              <w:rPr>
                <w:b/>
                <w:sz w:val="20"/>
                <w:color w:val="FFFFFF"/>
              </w:rPr>
              <w:t>Estado</w:t>
            </w:r>
          </w:p>
        </w:tc>
        <w:tc>
          <w:tcPr>
            <w:tcW w:w="3200" w:type="dxa"/>
            <w:shd w:val="clear" w:color="auto" w:fill="1E3A8A"/>
          </w:tcPr>
          <w:p>
            <w:pPr>
              <w:spacing w:after="40" w:before="40"/>
            </w:pPr>
            <w:r>
              <w:rPr>
                <w:b/>
                <w:sz w:val="20"/>
                <w:color w:val="FFFFFF"/>
              </w:rPr>
              <w:t>Significado Técnico</w:t>
            </w:r>
          </w:p>
        </w:tc>
        <w:tc>
          <w:tcPr>
            <w:tcW w:w="2660" w:type="dxa"/>
            <w:shd w:val="clear" w:color="auto" w:fill="1E3A8A"/>
          </w:tcPr>
          <w:p>
            <w:pPr>
              <w:spacing w:after="40" w:before="40"/>
            </w:pPr>
            <w:r>
              <w:rPr>
                <w:b/>
                <w:sz w:val="20"/>
                <w:color w:val="FFFFFF"/>
              </w:rPr>
              <w:t>Acción de Contabilidad</w:t>
            </w:r>
          </w:p>
        </w:tc>
      </w:tr>
      <w:tr>
        <w:tc>
          <w:tcPr>
            <w:tcW w:w="1500" w:type="dxa"/>
            <w:shd w:val="clear" w:color="auto" w:fill="FFFFFF"/>
          </w:tcPr>
          <w:p>
            <w:pPr>
              <w:spacing w:after="40" w:before="40"/>
            </w:pPr>
            <w:r>
              <w:rPr>
                <w:sz w:val="20"/>
                <w:color w:val="1E293B"/>
              </w:rPr>
              <w:t>Círculo Gris</w:t>
            </w:r>
          </w:p>
        </w:tc>
        <w:tc>
          <w:tcPr>
            <w:tcW w:w="2000" w:type="dxa"/>
            <w:shd w:val="clear" w:color="auto" w:fill="FFFFFF"/>
          </w:tcPr>
          <w:p>
            <w:pPr>
              <w:spacing w:after="40" w:before="40"/>
            </w:pPr>
            <w:r>
              <w:rPr>
                <w:sz w:val="20"/>
                <w:color w:val="1E293B"/>
              </w:rPr>
              <w:t>Factura Pendiente</w:t>
            </w:r>
          </w:p>
        </w:tc>
        <w:tc>
          <w:tcPr>
            <w:tcW w:w="3200" w:type="dxa"/>
            <w:shd w:val="clear" w:color="auto" w:fill="FFFFFF"/>
          </w:tcPr>
          <w:p>
            <w:pPr>
              <w:spacing w:after="40" w:before="40"/>
            </w:pPr>
            <w:r>
              <w:rPr>
                <w:sz w:val="20"/>
                <w:color w:val="1E293B"/>
              </w:rPr>
              <w:t>La OP está vinculada a una OC, pero TI aún no ha subido el PDF de la factura al portal.</w:t>
            </w:r>
          </w:p>
        </w:tc>
        <w:tc>
          <w:tcPr>
            <w:tcW w:w="2660" w:type="dxa"/>
            <w:shd w:val="clear" w:color="auto" w:fill="FFFFFF"/>
          </w:tcPr>
          <w:p>
            <w:pPr>
              <w:spacing w:after="40" w:before="40"/>
            </w:pPr>
            <w:r>
              <w:rPr>
                <w:sz w:val="20"/>
                <w:color w:val="1E293B"/>
              </w:rPr>
              <w:t>Contabilidad espera o solicita a TI la subida del comprobante.</w:t>
            </w:r>
          </w:p>
        </w:tc>
      </w:tr>
      <w:tr>
        <w:tc>
          <w:tcPr>
            <w:tcW w:w="1500" w:type="dxa"/>
            <w:shd w:val="clear" w:color="auto" w:fill="F8FAFC"/>
          </w:tcPr>
          <w:p>
            <w:pPr>
              <w:spacing w:after="40" w:before="40"/>
            </w:pPr>
            <w:r>
              <w:rPr>
                <w:sz w:val="20"/>
                <w:color w:val="1E293B"/>
              </w:rPr>
              <w:t>Círculo Verde</w:t>
            </w:r>
          </w:p>
        </w:tc>
        <w:tc>
          <w:tcPr>
            <w:tcW w:w="2000" w:type="dxa"/>
            <w:shd w:val="clear" w:color="auto" w:fill="F8FAFC"/>
          </w:tcPr>
          <w:p>
            <w:pPr>
              <w:spacing w:after="40" w:before="40"/>
            </w:pPr>
            <w:r>
              <w:rPr>
                <w:sz w:val="20"/>
                <w:color w:val="1E293B"/>
              </w:rPr>
              <w:t>Factura Subida (Lista)</w:t>
            </w:r>
          </w:p>
        </w:tc>
        <w:tc>
          <w:tcPr>
            <w:tcW w:w="3200" w:type="dxa"/>
            <w:shd w:val="clear" w:color="auto" w:fill="F8FAFC"/>
          </w:tcPr>
          <w:p>
            <w:pPr>
              <w:spacing w:after="40" w:before="40"/>
            </w:pPr>
            <w:r>
              <w:rPr>
                <w:sz w:val="20"/>
                <w:color w:val="1E293B"/>
              </w:rPr>
              <w:t>TI ya subió la factura del proveedor al sistema.</w:t>
            </w:r>
          </w:p>
        </w:tc>
        <w:tc>
          <w:tcPr>
            <w:tcW w:w="2660" w:type="dxa"/>
            <w:shd w:val="clear" w:color="auto" w:fill="F8FAFC"/>
          </w:tcPr>
          <w:p>
            <w:pPr>
              <w:spacing w:after="40" w:before="40"/>
            </w:pPr>
            <w:r>
              <w:rPr>
                <w:sz w:val="20"/>
                <w:color w:val="1E293B"/>
              </w:rPr>
              <w:t>Aparece el botón 'Descargar Factura'. Contabilidad abre el PDF en una pestaña y ejecuta la transferencia bancaria.</w:t>
            </w:r>
          </w:p>
        </w:tc>
      </w:tr>
    </w:tbl>
    <w:p>
      <w:pPr>
        <w:spacing w:after="160"/>
      </w:pPr>
    </w:p>
    <w:tbl>
      <w:tblPr>
        <w:tblW w:w="9360" w:type="dxa"/>
        <w:tblBorders>
          <w:top w:val="none"/>
          <w:left w:val="single" w:sz="36" w:color="16A34A"/>
          <w:bottom w:val="none"/>
          <w:right w:val="none"/>
        </w:tblBorders>
        <w:tblCellMar>
          <w:top w:w="160" w:type="dxa"/>
          <w:left w:w="220" w:type="dxa"/>
          <w:bottom w:w="160" w:type="dxa"/>
          <w:right w:w="220" w:type="dxa"/>
        </w:tblCellMar>
      </w:tblPr>
      <w:tr>
        <w:tc>
          <w:tcPr>
            <w:tcW w:w="9360" w:type="dxa"/>
            <w:shd w:val="clear" w:color="auto" w:fill="F0FDF4"/>
          </w:tcPr>
          <w:p>
            <w:pPr>
              <w:spacing w:after="60"/>
            </w:pPr>
            <w:r>
              <w:rPr>
                <w:b/>
                <w:sz w:val="22"/>
                <w:color w:val="15803D"/>
              </w:rPr>
              <w:t>BENEFICIOS DE ESTA INTEGRACIÓN:</w:t>
            </w:r>
          </w:p>
          <w:p>
            <w:pPr>
              <w:spacing w:after="0"/>
            </w:pPr>
            <w:r>
              <w:rPr>
                <w:sz w:val="20"/>
                <w:color w:val="334155"/>
              </w:rPr>
              <w:t>1. Cero extravío de facturas digitales.
2. No se requiere enviar archivos pesados por correo o WhatsApp.
3. Auditoría completa: cada pago queda respaldado por su orden de compra y su factura original.</w:t>
            </w:r>
          </w:p>
        </w:tc>
      </w:tr>
    </w:tbl>
    <w:p>
      <w:pPr>
        <w:spacing w:after="120"/>
      </w:pPr>
    </w:p>
    <w:p>
      <w:pPr>
        <w:spacing w:before="360" w:after="160"/>
        <w:pBdr>
          <w:bottom w:val="single" w:sz="14" w:space="6" w:color="1E3A8A"/>
        </w:pBdr>
      </w:pPr>
      <w:r>
        <w:rPr>
          <w:rFonts w:ascii="Segoe UI" w:hAnsi="Segoe UI"/>
          <w:b/>
          <w:sz w:val="32"/>
          <w:szCs w:val="32"/>
          <w:color w:val="1E3A8A"/>
        </w:rPr>
        <w:t>5. MÓDULOS COMPLEMENTARIOS (RESUMEN)</w:t>
      </w:r>
    </w:p>
    <w:p>
      <w:pPr>
        <w:spacing w:before="0" w:after="140" w:line="276" w:lineRule="auto"/>
      </w:pPr>
      <w:r>
        <w:rPr>
          <w:rFonts w:ascii="Segoe UI" w:hAnsi="Segoe UI"/>
          <w:sz w:val="22"/>
          <w:szCs w:val="22"/>
          <w:color w:val="334155"/>
        </w:rPr>
        <w:t xml:space="preserve">Para conocimiento general de la organización, el sistema cuenta con dos módulos adicionales diseñados para áreas específicas:</w:t>
      </w:r>
    </w:p>
    <w:p>
      <w:pPr>
        <w:spacing w:before="240" w:after="120"/>
      </w:pPr>
      <w:r>
        <w:rPr>
          <w:rFonts w:ascii="Segoe UI" w:hAnsi="Segoe UI"/>
          <w:b/>
          <w:sz w:val="26"/>
          <w:szCs w:val="26"/>
          <w:color w:val="0369A1"/>
        </w:rPr>
        <w:t>5.1 Módulo de Mantenimiento (Usuario: mantenimiento)</w:t>
      </w:r>
    </w:p>
    <w:p>
      <w:pPr>
        <w:pStyle w:val="ListParagraph"/>
        <w:numPr>
          <w:ilvl w:val="0"/>
        </w:numPr>
        <w:ind w:left="720" w:hanging="360"/>
        <w:spacing w:after="80" w:line="260" w:lineRule="auto"/>
      </w:pPr>
      <w:r>
        <w:rPr>
          <w:color w:val="1E3A8A"/>
          <w:b/>
        </w:rPr>
        <w:t xml:space="preserve">● </w:t>
      </w:r>
      <w:r>
        <w:rPr>
          <w:b/>
          <w:sz w:val="22"/>
          <w:color w:val="0F172A"/>
        </w:rPr>
        <w:t xml:space="preserve">Alcance: </w:t>
      </w:r>
      <w:r>
        <w:rPr>
          <w:sz w:val="22"/>
          <w:color w:val="334155"/>
        </w:rPr>
        <w:t xml:space="preserve">Propósito: Gestión de compras de repuestos, servicios técnicos y mantenimiento de infraestructura.</w:t>
      </w:r>
    </w:p>
    <w:p>
      <w:pPr>
        <w:pStyle w:val="ListParagraph"/>
        <w:numPr>
          <w:ilvl w:val="0"/>
        </w:numPr>
        <w:ind w:left="720" w:hanging="360"/>
        <w:spacing w:after="80" w:line="260" w:lineRule="auto"/>
      </w:pPr>
      <w:r>
        <w:rPr>
          <w:color w:val="1E3A8A"/>
          <w:b/>
        </w:rPr>
        <w:t xml:space="preserve">● </w:t>
      </w:r>
      <w:r>
        <w:rPr>
          <w:b/>
          <w:sz w:val="22"/>
          <w:color w:val="0F172A"/>
        </w:rPr>
        <w:t xml:space="preserve">Nomenclatura: </w:t>
      </w:r>
      <w:r>
        <w:rPr>
          <w:sz w:val="22"/>
          <w:color w:val="334155"/>
        </w:rPr>
        <w:t xml:space="preserve">Prefijo de Archivo: OCM_AAAAMMDD-XXXX.pdf (secuencia y carpetas separadas de TI).</w:t>
      </w:r>
    </w:p>
    <w:p>
      <w:pPr>
        <w:pStyle w:val="ListParagraph"/>
        <w:numPr>
          <w:ilvl w:val="0"/>
        </w:numPr>
        <w:ind w:left="720" w:hanging="360"/>
        <w:spacing w:after="80" w:line="260" w:lineRule="auto"/>
      </w:pPr>
      <w:r>
        <w:rPr>
          <w:color w:val="1E3A8A"/>
          <w:b/>
        </w:rPr>
        <w:t xml:space="preserve">● </w:t>
      </w:r>
      <w:r>
        <w:rPr>
          <w:b/>
          <w:sz w:val="22"/>
          <w:color w:val="0F172A"/>
        </w:rPr>
        <w:t xml:space="preserve">Proveedores: </w:t>
      </w:r>
      <w:r>
        <w:rPr>
          <w:sz w:val="22"/>
          <w:color w:val="334155"/>
        </w:rPr>
        <w:t xml:space="preserve">Base de Proveedores Propia: Maneja un catálogo independiente (proveedores_maint) para no mezclar proveedores de cómputo con proveedores de ferretería/obra.</w:t>
      </w:r>
    </w:p>
    <w:p>
      <w:pPr>
        <w:pStyle w:val="ListParagraph"/>
        <w:numPr>
          <w:ilvl w:val="0"/>
        </w:numPr>
        <w:ind w:left="720" w:hanging="360"/>
        <w:spacing w:after="80" w:line="260" w:lineRule="auto"/>
      </w:pPr>
      <w:r>
        <w:rPr>
          <w:color w:val="1E3A8A"/>
          <w:b/>
        </w:rPr>
        <w:t xml:space="preserve">● </w:t>
      </w:r>
      <w:r>
        <w:rPr>
          <w:b/>
          <w:sz w:val="22"/>
          <w:color w:val="0F172A"/>
        </w:rPr>
        <w:t xml:space="preserve">Firmas: </w:t>
      </w:r>
      <w:r>
        <w:rPr>
          <w:sz w:val="22"/>
          <w:color w:val="334155"/>
        </w:rPr>
        <w:t xml:space="preserve">Firmas: Solicitante MANTENIMIENTO y firma de DAVID QUINTEROS.</w:t>
      </w:r>
    </w:p>
    <w:p>
      <w:pPr>
        <w:spacing w:before="240" w:after="120"/>
      </w:pPr>
      <w:r>
        <w:rPr>
          <w:rFonts w:ascii="Segoe UI" w:hAnsi="Segoe UI"/>
          <w:b/>
          <w:sz w:val="26"/>
          <w:szCs w:val="26"/>
          <w:color w:val="0369A1"/>
        </w:rPr>
        <w:t>5.2 Módulo de Marketing (Usuario: marketing)</w:t>
      </w:r>
    </w:p>
    <w:p>
      <w:pPr>
        <w:pStyle w:val="ListParagraph"/>
        <w:numPr>
          <w:ilvl w:val="0"/>
        </w:numPr>
        <w:ind w:left="720" w:hanging="360"/>
        <w:spacing w:after="80" w:line="260" w:lineRule="auto"/>
      </w:pPr>
      <w:r>
        <w:rPr>
          <w:color w:val="1E3A8A"/>
          <w:b/>
        </w:rPr>
        <w:t xml:space="preserve">● </w:t>
      </w:r>
      <w:r>
        <w:rPr>
          <w:b/>
          <w:sz w:val="22"/>
          <w:color w:val="0F172A"/>
        </w:rPr>
        <w:t xml:space="preserve">Alcance: </w:t>
      </w:r>
      <w:r>
        <w:rPr>
          <w:sz w:val="22"/>
          <w:color w:val="334155"/>
        </w:rPr>
        <w:t xml:space="preserve">Propósito: Emisión de Órdenes de Servicio (OS) para imprentas, agencias de publicidad y creadores de contenido.</w:t>
      </w:r>
    </w:p>
    <w:p>
      <w:pPr>
        <w:pStyle w:val="ListParagraph"/>
        <w:numPr>
          <w:ilvl w:val="0"/>
        </w:numPr>
        <w:ind w:left="720" w:hanging="360"/>
        <w:spacing w:after="80" w:line="260" w:lineRule="auto"/>
      </w:pPr>
      <w:r>
        <w:rPr>
          <w:color w:val="1E3A8A"/>
          <w:b/>
        </w:rPr>
        <w:t xml:space="preserve">● </w:t>
      </w:r>
      <w:r>
        <w:rPr>
          <w:b/>
          <w:sz w:val="22"/>
          <w:color w:val="0F172A"/>
        </w:rPr>
        <w:t xml:space="preserve">Nomenclatura: </w:t>
      </w:r>
      <w:r>
        <w:rPr>
          <w:sz w:val="22"/>
          <w:color w:val="334155"/>
        </w:rPr>
        <w:t xml:space="preserve">Prefijo de Archivo: OS_AAAAMMDD-XXXX.pdf.</w:t>
      </w:r>
    </w:p>
    <w:p>
      <w:pPr>
        <w:pStyle w:val="ListParagraph"/>
        <w:numPr>
          <w:ilvl w:val="0"/>
        </w:numPr>
        <w:ind w:left="720" w:hanging="360"/>
        <w:spacing w:after="80" w:line="260" w:lineRule="auto"/>
      </w:pPr>
      <w:r>
        <w:rPr>
          <w:color w:val="1E3A8A"/>
          <w:b/>
        </w:rPr>
        <w:t xml:space="preserve">● </w:t>
      </w:r>
      <w:r>
        <w:rPr>
          <w:b/>
          <w:sz w:val="22"/>
          <w:color w:val="0F172A"/>
        </w:rPr>
        <w:t xml:space="preserve">Diseño: </w:t>
      </w:r>
      <w:r>
        <w:rPr>
          <w:sz w:val="22"/>
          <w:color w:val="334155"/>
        </w:rPr>
        <w:t xml:space="preserve">Estructura: Formulario optimizado con área ampliada para detalle de entregables y sección de notas/referencias visuales.</w:t>
      </w:r>
    </w:p>
    <w:p>
      <w:pPr>
        <w:spacing w:before="360" w:after="160"/>
        <w:pBdr>
          <w:bottom w:val="single" w:sz="14" w:space="6" w:color="1E3A8A"/>
        </w:pBdr>
      </w:pPr>
      <w:r>
        <w:rPr>
          <w:rFonts w:ascii="Segoe UI" w:hAnsi="Segoe UI"/>
          <w:b/>
          <w:sz w:val="32"/>
          <w:szCs w:val="32"/>
          <w:color w:val="1E3A8A"/>
        </w:rPr>
        <w:t>6. PREGUNTAS FRECUENTES Y SOLUCIÓN DE PROBLEMAS (FAQ)</w:t>
      </w:r>
    </w:p>
    <w:p>
      <w:pPr>
        <w:spacing w:before="240" w:after="120"/>
      </w:pPr>
      <w:r>
        <w:rPr>
          <w:rFonts w:ascii="Segoe UI" w:hAnsi="Segoe UI"/>
          <w:b/>
          <w:sz w:val="26"/>
          <w:szCs w:val="26"/>
          <w:color w:val="0369A1"/>
        </w:rPr>
        <w:t>¿Por qué el navegador muestra 'Descarga no segura bloqueada'?</w:t>
      </w:r>
    </w:p>
    <w:p>
      <w:pPr>
        <w:spacing w:before="0" w:after="140" w:line="276" w:lineRule="auto"/>
      </w:pPr>
      <w:r>
        <w:rPr>
          <w:rFonts w:ascii="Segoe UI" w:hAnsi="Segoe UI"/>
          <w:sz w:val="22"/>
          <w:szCs w:val="22"/>
          <w:color w:val="334155"/>
        </w:rPr>
        <w:t xml:space="preserve">Ocurre si se ingresa usando HTTP simple en lugar de HTTPS. Para solucionarlo:</w:t>
      </w:r>
    </w:p>
    <w:p>
      <w:pPr>
        <w:pStyle w:val="ListParagraph"/>
        <w:numPr>
          <w:ilvl w:val="0"/>
        </w:numPr>
        <w:ind w:left="720" w:hanging="360"/>
        <w:spacing w:after="80" w:line="260" w:lineRule="auto"/>
      </w:pPr>
      <w:r>
        <w:rPr>
          <w:color w:val="1E3A8A"/>
          <w:b/>
        </w:rPr>
        <w:t xml:space="preserve">● </w:t>
      </w:r>
      <w:r>
        <w:rPr>
          <w:sz w:val="22"/>
          <w:color w:val="334155"/>
        </w:rPr>
        <w:t xml:space="preserve">1. Ingresar siempre usando la URL segura: https://192.168.10.225/.</w:t>
      </w:r>
    </w:p>
    <w:p>
      <w:pPr>
        <w:pStyle w:val="ListParagraph"/>
        <w:numPr>
          <w:ilvl w:val="0"/>
        </w:numPr>
        <w:ind w:left="720" w:hanging="360"/>
        <w:spacing w:after="80" w:line="260" w:lineRule="auto"/>
      </w:pPr>
      <w:r>
        <w:rPr>
          <w:color w:val="1E3A8A"/>
          <w:b/>
        </w:rPr>
        <w:t xml:space="preserve">● </w:t>
      </w:r>
      <w:r>
        <w:rPr>
          <w:sz w:val="22"/>
          <w:color w:val="334155"/>
        </w:rPr>
        <w:t xml:space="preserve">2. O agregar la excepción en el navegador en chrome://settings/content/insecureContent.</w:t>
      </w:r>
    </w:p>
    <w:p>
      <w:pPr>
        <w:spacing w:before="240" w:after="120"/>
      </w:pPr>
      <w:r>
        <w:rPr>
          <w:rFonts w:ascii="Segoe UI" w:hAnsi="Segoe UI"/>
          <w:b/>
          <w:sz w:val="26"/>
          <w:szCs w:val="26"/>
          <w:color w:val="0369A1"/>
        </w:rPr>
        <w:t>¿Por qué no se abre el PDF automáticamente al guardar?</w:t>
      </w:r>
    </w:p>
    <w:p>
      <w:pPr>
        <w:spacing w:before="0" w:after="140" w:line="276" w:lineRule="auto"/>
      </w:pPr>
      <w:r>
        <w:rPr>
          <w:rFonts w:ascii="Segoe UI" w:hAnsi="Segoe UI"/>
          <w:sz w:val="22"/>
          <w:szCs w:val="22"/>
          <w:color w:val="334155"/>
        </w:rPr>
        <w:t xml:space="preserve">Los navegadores modernos bloquean ventanas emergentes (Pop-ups) por defecto. En la barra de direcciones del navegador aparecerá un ícono de ventana bloqueada; haz clic sobre él y selecciona 'Permitir siempre ventanas emergentes de https://192.168.10.225'.</w:t>
      </w:r>
    </w:p>
    <w:p>
      <w:pPr>
        <w:spacing w:before="240" w:after="120"/>
      </w:pPr>
      <w:r>
        <w:rPr>
          <w:rFonts w:ascii="Segoe UI" w:hAnsi="Segoe UI"/>
          <w:b/>
          <w:sz w:val="26"/>
          <w:szCs w:val="26"/>
          <w:color w:val="0369A1"/>
        </w:rPr>
        <w:t>¿Qué hacer si sale el error 'Ya existe un documento con ese nombre'?</w:t>
      </w:r>
    </w:p>
    <w:p>
      <w:pPr>
        <w:spacing w:before="0" w:after="140" w:line="276" w:lineRule="auto"/>
      </w:pPr>
      <w:r>
        <w:rPr>
          <w:rFonts w:ascii="Segoe UI" w:hAnsi="Segoe UI"/>
          <w:sz w:val="22"/>
          <w:szCs w:val="22"/>
          <w:color w:val="334155"/>
        </w:rPr>
        <w:t xml:space="preserve">Esto sucede si se presiona dos veces seguidas el botón 'Guardar' en un documento nuevo sin recargar la página. Como el primer clic ya guardó el archivo con ese número, el sistema protege el archivo contra sobreescrituras. Simplemente recarga la página con F5 para cargar el siguiente correlativo en la secuencia.</w:t>
      </w:r>
    </w:p>
    <w:p>
      <w:pPr>
        <w:spacing w:before="240" w:after="120"/>
      </w:pPr>
      <w:r>
        <w:rPr>
          <w:rFonts w:ascii="Segoe UI" w:hAnsi="Segoe UI"/>
          <w:b/>
          <w:sz w:val="26"/>
          <w:szCs w:val="26"/>
          <w:color w:val="0369A1"/>
        </w:rPr>
        <w:t>¿Puedo editar un documento ya guardado?</w:t>
      </w:r>
    </w:p>
    <w:p>
      <w:pPr>
        <w:spacing w:before="0" w:after="140" w:line="276" w:lineRule="auto"/>
      </w:pPr>
      <w:r>
        <w:rPr>
          <w:rFonts w:ascii="Segoe UI" w:hAnsi="Segoe UI"/>
          <w:sz w:val="22"/>
          <w:szCs w:val="22"/>
          <w:color w:val="334155"/>
        </w:rPr>
        <w:t xml:space="preserve">Sí. Desde la pantalla de Historial, haz clic en el botón naranja 'Editar' al lado de cualquier documento. El sistema cargará todos los datos originales (ítems, precios, proveedor, notas). Al guardar las modificaciones, el sistema actualizará el archivo en la carpeta de editadas sin alterar el número original.</w:t>
      </w:r>
    </w:p>
    <w:p>
      <w:pPr>
        <w:jc w:val="center"/>
        <w:spacing w:before="400" w:after="100" w:line="276" w:lineRule="auto"/>
      </w:pPr>
      <w:r>
        <w:rPr>
          <w:rFonts w:ascii="Segoe UI" w:hAnsi="Segoe UI"/>
          <w:i/>
          <w:sz w:val="18"/>
          <w:szCs w:val="18"/>
          <w:color w:val="94A3B8"/>
        </w:rPr>
        <w:t xml:space="preserve">Fin del Documento - Grupo Medical 2026</w:t>
      </w:r>
    </w:p>
    <w:sectPr>
      <w:headerReference w:type="default" r:id="rIdHeade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pStyle w:val="Footer"/>
      <w:pBdr>
        <w:top w:val="single" w:sz="6" w:space="4" w:color="CBD5E1"/>
      </w:pBdr>
      <w:tabs>
        <w:tab w:val="right" w:pos="9360"/>
      </w:tabs>
    </w:pPr>
    <w:r>
      <w:rPr>
        <w:rFonts w:ascii="Segoe UI" w:hAnsi="Segoe UI"/>
        <w:sz w:val="16"/>
        <w:color w:val="94A3B8"/>
      </w:rPr>
      <w:t>Uso Interno y Confidencial - Áreas de TI y Contabilidad</w:t>
    </w:r>
    <w:r>
      <w:rPr>
        <w:rFonts w:ascii="Segoe UI" w:hAnsi="Segoe UI"/>
        <w:sz w:val="16"/>
        <w:color w:val="94A3B8"/>
      </w:rPr>
      <w:tab/>
      <w:t>Página </w:t>
    </w:r>
    <w:fldSimple w:instr="PAGE"/>
    <w:r>
      <w:rPr>
        <w:rFonts w:ascii="Segoe UI" w:hAnsi="Segoe UI"/>
        <w:sz w:val="16"/>
        <w:color w:val="94A3B8"/>
      </w:rPr>
      <w:t> de </w:t>
    </w:r>
    <w:fldSimple w:instr="NUMPAGES"/>
  </w:p>
</w:ftr>
</file>

<file path=word/header1.xml><?xml version="1.0" encoding="utf-8"?>
<w:hdr xmlns:w="http://schemas.openxmlformats.org/wordprocessingml/2006/main">
  <w:p>
    <w:pPr>
      <w:pStyle w:val="Header"/>
      <w:pBdr>
        <w:bottom w:val="single" w:sz="6" w:space="4" w:color="CBD5E1"/>
      </w:pBdr>
      <w:tabs>
        <w:tab w:val="right" w:pos="9360"/>
      </w:tabs>
    </w:pPr>
    <w:r>
      <w:rPr>
        <w:rFonts w:ascii="Segoe UI" w:hAnsi="Segoe UI"/>
        <w:b/>
        <w:sz w:val="18"/>
        <w:color w:val="1E3A8A"/>
      </w:rPr>
      <w:t>GRUPO MEDICAL</w:t>
    </w:r>
    <w:r>
      <w:rPr>
        <w:rFonts w:ascii="Segoe UI" w:hAnsi="Segoe UI"/>
        <w:sz w:val="18"/>
        <w:color w:val="64748B"/>
      </w:rPr>
      <w:t> | Manual de Usuario del Sistema de Gestión de Órdenes y Pagos</w:t>
    </w:r>
  </w:p>
</w:hdr>
</file>

<file path=word/styles.xml><?xml version="1.0" encoding="utf-8"?>
<w:styles xmlns:w="http://schemas.openxmlformats.org/wordprocessingml/2006/main">
  <w:docDefaults>
    <w:rPrDefault>
      <w:rPr>
        <w:rFonts w:ascii="Segoe UI" w:hAnsi="Segoe UI" w:cs="Segoe UI"/>
        <w:sz w:val="22"/>
        <w:szCs w:val="22"/>
        <w:color w:val="334155"/>
        <w:lang w:val="es-PE"/>
      </w:rPr>
    </w:rPrDefault>
    <w:pPrDefault>
      <w:pPr>
        <w:spacing w:line="276" w:lineRule="auto" w:after="160"/>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 Type="http://schemas.openxmlformats.org/officeDocument/2006/relationships/header" Target="header1.xml"/>
  <Relationship Id="rIdFooter" Type="http://schemas.openxmlformats.org/officeDocument/2006/relationships/footer" Target="footer1.xml"/>
  <Relationship Id="rIdLogo" Type="http://schemas.openxmlformats.org/officeDocument/2006/relationships/image" Target="media/logo.png"/>
  <Relationship Id="rIdDiagModulos" Type="http://schemas.openxmlformats.org/officeDocument/2006/relationships/image" Target="media/diagram_modulos.png"/>
  <Relationship Id="rIdDiagFlujo" Type="http://schemas.openxmlformats.org/officeDocument/2006/relationships/image" Target="media/diagram_flujo.png"/>
</Relationships>
</file>