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CU11-Responder reclamo </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Ayala Salvatierra</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3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t77lvoaxg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43pyiiudgx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j8n08oeep1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670efdvep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u4z4rhu2j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pmistgerb4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eb2vrqq7d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hvxbw7kb31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252spdn1b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n2joz1n8p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56jk1qcur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udulghk2w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fo0q3onnda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dr2kgr21ma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5bm3sayuoru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r>
          </w:hyperlink>
          <w:hyperlink w:anchor="_heading=h.5bm3sayuo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widowControl w:val="0"/>
        <w:numPr>
          <w:ilvl w:val="0"/>
          <w:numId w:val="5"/>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dt77lvoaxgj8"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F">
      <w:pPr>
        <w:pStyle w:val="Heading2"/>
        <w:widowControl w:val="0"/>
        <w:numPr>
          <w:ilvl w:val="1"/>
          <w:numId w:val="5"/>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p43pyiiudgxr" w:id="4"/>
      <w:bookmarkEnd w:id="4"/>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6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detallar el caso de uso "Responder reclamo", proporcionando una descripción clara de los procesos involucrados, las interacciones entre el profesor y el sistema, y las condiciones necesarias para el funcionamiento adecuado del sistema. Este documento también establece las bases para el desarrollo, implementación y mejora continua del sistema, asegurando que se cumplan los objetivos educativos y técnicos.</w:t>
      </w:r>
    </w:p>
    <w:p w:rsidR="00000000" w:rsidDel="00000000" w:rsidP="00000000" w:rsidRDefault="00000000" w:rsidRPr="00000000" w14:paraId="00000061">
      <w:pPr>
        <w:pStyle w:val="Heading2"/>
        <w:widowControl w:val="0"/>
        <w:numPr>
          <w:ilvl w:val="1"/>
          <w:numId w:val="5"/>
        </w:numPr>
        <w:spacing w:line="360" w:lineRule="auto"/>
        <w:ind w:left="1440" w:hanging="360"/>
        <w:jc w:val="both"/>
        <w:rPr>
          <w:rFonts w:ascii="Times New Roman" w:cs="Times New Roman" w:eastAsia="Times New Roman" w:hAnsi="Times New Roman"/>
          <w:b w:val="1"/>
          <w:sz w:val="24"/>
          <w:szCs w:val="24"/>
        </w:rPr>
      </w:pPr>
      <w:bookmarkStart w:colFirst="0" w:colLast="0" w:name="_heading=h.ej8n08oeep1e" w:id="5"/>
      <w:bookmarkEnd w:id="5"/>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62">
      <w:pPr>
        <w:numPr>
          <w:ilvl w:val="0"/>
          <w:numId w:val="2"/>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 interacción del profesor con el sistema para revisar y responder a los reclamos de los estudiantes.</w:t>
      </w:r>
    </w:p>
    <w:p w:rsidR="00000000" w:rsidDel="00000000" w:rsidP="00000000" w:rsidRDefault="00000000" w:rsidRPr="00000000" w14:paraId="00000063">
      <w:pPr>
        <w:numPr>
          <w:ilvl w:val="0"/>
          <w:numId w:val="2"/>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 implementación de una interfaz de usuario que permita al profesor ver y gestionar los reclamos pendientes.</w:t>
      </w:r>
    </w:p>
    <w:p w:rsidR="00000000" w:rsidDel="00000000" w:rsidP="00000000" w:rsidRDefault="00000000" w:rsidRPr="00000000" w14:paraId="00000064">
      <w:pPr>
        <w:numPr>
          <w:ilvl w:val="0"/>
          <w:numId w:val="2"/>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 provisión de retroalimentación adicional o ajustes en la evaluación según sea necesario.</w:t>
      </w:r>
    </w:p>
    <w:p w:rsidR="00000000" w:rsidDel="00000000" w:rsidP="00000000" w:rsidRDefault="00000000" w:rsidRPr="00000000" w14:paraId="00000065">
      <w:pPr>
        <w:numPr>
          <w:ilvl w:val="0"/>
          <w:numId w:val="2"/>
        </w:numPr>
        <w:spacing w:line="36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 gestión de situaciones en las que el reclamo presente información insuficiente o sea ambiguo.</w:t>
      </w:r>
      <w:r w:rsidDel="00000000" w:rsidR="00000000" w:rsidRPr="00000000">
        <w:rPr>
          <w:rtl w:val="0"/>
        </w:rPr>
      </w:r>
    </w:p>
    <w:p w:rsidR="00000000" w:rsidDel="00000000" w:rsidP="00000000" w:rsidRDefault="00000000" w:rsidRPr="00000000" w14:paraId="00000066">
      <w:pPr>
        <w:pStyle w:val="Heading2"/>
        <w:widowControl w:val="0"/>
        <w:numPr>
          <w:ilvl w:val="1"/>
          <w:numId w:val="5"/>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o670efdvep0b" w:id="6"/>
      <w:bookmarkEnd w:id="6"/>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67">
      <w:pPr>
        <w:numPr>
          <w:ilvl w:val="0"/>
          <w:numId w:val="4"/>
        </w:numPr>
        <w:spacing w:line="360" w:lineRule="auto"/>
        <w:ind w:left="2160" w:hanging="360"/>
        <w:jc w:val="both"/>
      </w:pPr>
      <w:r w:rsidDel="00000000" w:rsidR="00000000" w:rsidRPr="00000000">
        <w:rPr>
          <w:rFonts w:ascii="Times New Roman" w:cs="Times New Roman" w:eastAsia="Times New Roman" w:hAnsi="Times New Roman"/>
          <w:i w:val="1"/>
          <w:sz w:val="24"/>
          <w:szCs w:val="24"/>
          <w:rtl w:val="0"/>
        </w:rPr>
        <w:t xml:space="preserve">Reclamo:</w:t>
      </w:r>
      <w:r w:rsidDel="00000000" w:rsidR="00000000" w:rsidRPr="00000000">
        <w:rPr>
          <w:rFonts w:ascii="Times New Roman" w:cs="Times New Roman" w:eastAsia="Times New Roman" w:hAnsi="Times New Roman"/>
          <w:sz w:val="24"/>
          <w:szCs w:val="24"/>
          <w:rtl w:val="0"/>
        </w:rPr>
        <w:t xml:space="preserve"> Solicitud formal realizada por un estudiante para revisar nuevamente una pregunta de una evaluación.</w:t>
      </w:r>
    </w:p>
    <w:p w:rsidR="00000000" w:rsidDel="00000000" w:rsidP="00000000" w:rsidRDefault="00000000" w:rsidRPr="00000000" w14:paraId="00000068">
      <w:pPr>
        <w:numPr>
          <w:ilvl w:val="0"/>
          <w:numId w:val="4"/>
        </w:numPr>
        <w:spacing w:line="360" w:lineRule="auto"/>
        <w:ind w:left="2160" w:hanging="360"/>
        <w:jc w:val="both"/>
      </w:pPr>
      <w:r w:rsidDel="00000000" w:rsidR="00000000" w:rsidRPr="00000000">
        <w:rPr>
          <w:rFonts w:ascii="Times New Roman" w:cs="Times New Roman" w:eastAsia="Times New Roman" w:hAnsi="Times New Roman"/>
          <w:i w:val="1"/>
          <w:sz w:val="24"/>
          <w:szCs w:val="24"/>
          <w:rtl w:val="0"/>
        </w:rPr>
        <w:t xml:space="preserve">Evaluación:</w:t>
      </w:r>
      <w:r w:rsidDel="00000000" w:rsidR="00000000" w:rsidRPr="00000000">
        <w:rPr>
          <w:rFonts w:ascii="Times New Roman" w:cs="Times New Roman" w:eastAsia="Times New Roman" w:hAnsi="Times New Roman"/>
          <w:sz w:val="24"/>
          <w:szCs w:val="24"/>
          <w:rtl w:val="0"/>
        </w:rPr>
        <w:t xml:space="preserve"> Prueba o examen realizado en un curso.</w:t>
      </w:r>
    </w:p>
    <w:p w:rsidR="00000000" w:rsidDel="00000000" w:rsidP="00000000" w:rsidRDefault="00000000" w:rsidRPr="00000000" w14:paraId="00000069">
      <w:pPr>
        <w:numPr>
          <w:ilvl w:val="0"/>
          <w:numId w:val="4"/>
        </w:numPr>
        <w:spacing w:line="360" w:lineRule="auto"/>
        <w:ind w:left="2160" w:hanging="360"/>
        <w:jc w:val="both"/>
      </w:pPr>
      <w:r w:rsidDel="00000000" w:rsidR="00000000" w:rsidRPr="00000000">
        <w:rPr>
          <w:rFonts w:ascii="Times New Roman" w:cs="Times New Roman" w:eastAsia="Times New Roman" w:hAnsi="Times New Roman"/>
          <w:i w:val="1"/>
          <w:sz w:val="24"/>
          <w:szCs w:val="24"/>
          <w:rtl w:val="0"/>
        </w:rPr>
        <w:t xml:space="preserve">A03-Profesor:</w:t>
      </w:r>
      <w:r w:rsidDel="00000000" w:rsidR="00000000" w:rsidRPr="00000000">
        <w:rPr>
          <w:rFonts w:ascii="Times New Roman" w:cs="Times New Roman" w:eastAsia="Times New Roman" w:hAnsi="Times New Roman"/>
          <w:sz w:val="24"/>
          <w:szCs w:val="24"/>
          <w:rtl w:val="0"/>
        </w:rPr>
        <w:t xml:space="preserve"> Usuario del sistema, en este caso, el profesor.</w:t>
      </w:r>
    </w:p>
    <w:p w:rsidR="00000000" w:rsidDel="00000000" w:rsidP="00000000" w:rsidRDefault="00000000" w:rsidRPr="00000000" w14:paraId="0000006A">
      <w:pPr>
        <w:numPr>
          <w:ilvl w:val="0"/>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Interfaz de Usuario (UI):</w:t>
      </w:r>
      <w:r w:rsidDel="00000000" w:rsidR="00000000" w:rsidRPr="00000000">
        <w:rPr>
          <w:rFonts w:ascii="Times New Roman" w:cs="Times New Roman" w:eastAsia="Times New Roman" w:hAnsi="Times New Roman"/>
          <w:sz w:val="24"/>
          <w:szCs w:val="24"/>
          <w:rtl w:val="0"/>
        </w:rPr>
        <w:t xml:space="preserve"> Parte del sistema con la que interactúa el usuario.</w:t>
      </w:r>
    </w:p>
    <w:p w:rsidR="00000000" w:rsidDel="00000000" w:rsidP="00000000" w:rsidRDefault="00000000" w:rsidRPr="00000000" w14:paraId="0000006B">
      <w:pPr>
        <w:pStyle w:val="Heading2"/>
        <w:widowControl w:val="0"/>
        <w:numPr>
          <w:ilvl w:val="1"/>
          <w:numId w:val="5"/>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yu4z4rhu2jpr" w:id="7"/>
      <w:bookmarkEnd w:id="7"/>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6C">
      <w:pPr>
        <w:widowControl w:val="0"/>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EE-DGE.docx</w:t>
      </w:r>
    </w:p>
    <w:p w:rsidR="00000000" w:rsidDel="00000000" w:rsidP="00000000" w:rsidRDefault="00000000" w:rsidRPr="00000000" w14:paraId="0000006D">
      <w:pPr>
        <w:pStyle w:val="Heading2"/>
        <w:widowControl w:val="0"/>
        <w:numPr>
          <w:ilvl w:val="1"/>
          <w:numId w:val="5"/>
        </w:numPr>
        <w:spacing w:line="360" w:lineRule="auto"/>
        <w:ind w:left="1440" w:hanging="360"/>
        <w:jc w:val="both"/>
        <w:rPr>
          <w:rFonts w:ascii="Times New Roman" w:cs="Times New Roman" w:eastAsia="Times New Roman" w:hAnsi="Times New Roman"/>
          <w:b w:val="1"/>
          <w:sz w:val="24"/>
          <w:szCs w:val="24"/>
        </w:rPr>
      </w:pPr>
      <w:bookmarkStart w:colFirst="0" w:colLast="0" w:name="_heading=h.cpmistgerb4s" w:id="8"/>
      <w:bookmarkEnd w:id="8"/>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"Responder reclamo" permite a los profesores revisar y responder a los reclamos presentados por los estudiantes sobre sus evaluaciones. El flujo básico implica que el profesor recibe una notificación sobre un reclamo presentado por un estudiante, accede a la sección de reclamos en la plataforma, y revisa el reclamo junto con la evaluación asociada y los comentarios del estudiante. Basándose en la revisión, el profesor puede modificar la nota del examen, proporcionar retroalimentación adicional o sustentar la nota original. Una vez completada la revisión, el profesor guarda los cambios y finaliza el proceso. Si el reclamo presenta información insuficiente, el profesor puede solicitar al estudiante que proporcione más detalles antes de continuar. Este sistema asegura que los reclamos sean gestionados de manera adecuada y que los estudiantes reciban una respuesta justa y detallada.</w:t>
      </w:r>
      <w:r w:rsidDel="00000000" w:rsidR="00000000" w:rsidRPr="00000000">
        <w:rPr>
          <w:rtl w:val="0"/>
        </w:rPr>
      </w:r>
    </w:p>
    <w:p w:rsidR="00000000" w:rsidDel="00000000" w:rsidP="00000000" w:rsidRDefault="00000000" w:rsidRPr="00000000" w14:paraId="0000006F">
      <w:pPr>
        <w:pStyle w:val="Heading1"/>
        <w:widowControl w:val="0"/>
        <w:numPr>
          <w:ilvl w:val="0"/>
          <w:numId w:val="5"/>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7eb2vrqq7dl7"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70">
      <w:pPr>
        <w:pStyle w:val="Heading2"/>
        <w:widowControl w:val="0"/>
        <w:numPr>
          <w:ilvl w:val="1"/>
          <w:numId w:val="5"/>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2hvxbw7kb31k" w:id="10"/>
      <w:bookmarkEnd w:id="10"/>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994400"/>
            <wp:effectExtent b="0" l="0" r="0" t="0"/>
            <wp:docPr id="2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widowControl w:val="0"/>
        <w:numPr>
          <w:ilvl w:val="1"/>
          <w:numId w:val="5"/>
        </w:numPr>
        <w:spacing w:line="360" w:lineRule="auto"/>
        <w:ind w:left="1440" w:hanging="360"/>
        <w:jc w:val="both"/>
        <w:rPr>
          <w:rFonts w:ascii="Times New Roman" w:cs="Times New Roman" w:eastAsia="Times New Roman" w:hAnsi="Times New Roman"/>
          <w:b w:val="1"/>
          <w:sz w:val="24"/>
          <w:szCs w:val="24"/>
        </w:rPr>
      </w:pPr>
      <w:bookmarkStart w:colFirst="0" w:colLast="0" w:name="_heading=h.e252spdn1bsm" w:id="11"/>
      <w:bookmarkEnd w:id="11"/>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73">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permite al profesor revisar y responder a los reclamos presentados por los estudiantes sobre sus evaluaciones, proporcionando retroalimentación adicional o justificando la nota asignada.</w:t>
      </w:r>
    </w:p>
    <w:p w:rsidR="00000000" w:rsidDel="00000000" w:rsidP="00000000" w:rsidRDefault="00000000" w:rsidRPr="00000000" w14:paraId="00000074">
      <w:pPr>
        <w:pStyle w:val="Heading2"/>
        <w:widowControl w:val="0"/>
        <w:numPr>
          <w:ilvl w:val="1"/>
          <w:numId w:val="5"/>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n2joz1n8pe6" w:id="12"/>
      <w:bookmarkEnd w:id="12"/>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75">
      <w:pPr>
        <w:widowControl w:val="0"/>
        <w:numPr>
          <w:ilvl w:val="0"/>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A03-Profesor</w:t>
      </w:r>
    </w:p>
    <w:p w:rsidR="00000000" w:rsidDel="00000000" w:rsidP="00000000" w:rsidRDefault="00000000" w:rsidRPr="00000000" w14:paraId="00000076">
      <w:pPr>
        <w:pStyle w:val="Heading2"/>
        <w:widowControl w:val="0"/>
        <w:numPr>
          <w:ilvl w:val="1"/>
          <w:numId w:val="5"/>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j56jk1qcurhj" w:id="13"/>
      <w:bookmarkEnd w:id="13"/>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77">
      <w:pPr>
        <w:widowControl w:val="0"/>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ha presentado un reclamo sobre su evaluación a través del caso de uso "Realizar Reclamo".</w:t>
      </w:r>
    </w:p>
    <w:p w:rsidR="00000000" w:rsidDel="00000000" w:rsidP="00000000" w:rsidRDefault="00000000" w:rsidRPr="00000000" w14:paraId="00000078">
      <w:pPr>
        <w:widowControl w:val="0"/>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ha iniciado sesión en la plataforma.</w:t>
      </w:r>
    </w:p>
    <w:p w:rsidR="00000000" w:rsidDel="00000000" w:rsidP="00000000" w:rsidRDefault="00000000" w:rsidRPr="00000000" w14:paraId="00000079">
      <w:pPr>
        <w:pStyle w:val="Heading2"/>
        <w:widowControl w:val="0"/>
        <w:numPr>
          <w:ilvl w:val="1"/>
          <w:numId w:val="5"/>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gudulghk2wth" w:id="14"/>
      <w:bookmarkEnd w:id="14"/>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7A">
      <w:pPr>
        <w:widowControl w:val="0"/>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registra la respuesta del profesor al reclamo del estudiante en el sistema.</w:t>
      </w:r>
    </w:p>
    <w:p w:rsidR="00000000" w:rsidDel="00000000" w:rsidP="00000000" w:rsidRDefault="00000000" w:rsidRPr="00000000" w14:paraId="0000007B">
      <w:pPr>
        <w:widowControl w:val="0"/>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recibe una notificación sobre la resolución de su reclamo y puede acceder a cualquier ajuste en su evaluación o la retroalimentación adicional proporcionada por el profesor.</w:t>
      </w:r>
    </w:p>
    <w:p w:rsidR="00000000" w:rsidDel="00000000" w:rsidP="00000000" w:rsidRDefault="00000000" w:rsidRPr="00000000" w14:paraId="0000007C">
      <w:pPr>
        <w:pStyle w:val="Heading2"/>
        <w:widowControl w:val="0"/>
        <w:numPr>
          <w:ilvl w:val="1"/>
          <w:numId w:val="5"/>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fo0q3onndat" w:id="15"/>
      <w:bookmarkEnd w:id="15"/>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7D">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recibe una notificación de que un estudiante ha presentado un reclamo sobre una evaluación.</w:t>
      </w:r>
    </w:p>
    <w:p w:rsidR="00000000" w:rsidDel="00000000" w:rsidP="00000000" w:rsidRDefault="00000000" w:rsidRPr="00000000" w14:paraId="0000007E">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accede a la sección de reclamos en la plataforma.</w:t>
      </w:r>
    </w:p>
    <w:p w:rsidR="00000000" w:rsidDel="00000000" w:rsidP="00000000" w:rsidRDefault="00000000" w:rsidRPr="00000000" w14:paraId="0000007F">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muestra una lista de reclamos pendientes junto con la evaluación asociada y los comentarios del estudiante.</w:t>
      </w:r>
    </w:p>
    <w:p w:rsidR="00000000" w:rsidDel="00000000" w:rsidP="00000000" w:rsidRDefault="00000000" w:rsidRPr="00000000" w14:paraId="00000080">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selecciona un reclamo específico para revisarlo en detalle.</w:t>
      </w:r>
    </w:p>
    <w:p w:rsidR="00000000" w:rsidDel="00000000" w:rsidP="00000000" w:rsidRDefault="00000000" w:rsidRPr="00000000" w14:paraId="00000081">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muestra el examen del estudiante junto con el reclamo presentado.</w:t>
      </w:r>
    </w:p>
    <w:p w:rsidR="00000000" w:rsidDel="00000000" w:rsidP="00000000" w:rsidRDefault="00000000" w:rsidRPr="00000000" w14:paraId="00000082">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revisa el examen del estudiante y la justificación del reclamo.</w:t>
      </w:r>
    </w:p>
    <w:p w:rsidR="00000000" w:rsidDel="00000000" w:rsidP="00000000" w:rsidRDefault="00000000" w:rsidRPr="00000000" w14:paraId="00000083">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Basándose en la revisión, el profesor puede realizar una de las siguientes acciones:</w:t>
      </w:r>
    </w:p>
    <w:p w:rsidR="00000000" w:rsidDel="00000000" w:rsidP="00000000" w:rsidRDefault="00000000" w:rsidRPr="00000000" w14:paraId="00000084">
      <w:pPr>
        <w:widowControl w:val="0"/>
        <w:numPr>
          <w:ilvl w:val="1"/>
          <w:numId w:val="3"/>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la nota del examen si se encuentra que el reclamo es válido y la evaluación original necesita ajustes.</w:t>
      </w:r>
    </w:p>
    <w:p w:rsidR="00000000" w:rsidDel="00000000" w:rsidP="00000000" w:rsidRDefault="00000000" w:rsidRPr="00000000" w14:paraId="00000085">
      <w:pPr>
        <w:widowControl w:val="0"/>
        <w:numPr>
          <w:ilvl w:val="1"/>
          <w:numId w:val="3"/>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retroalimentación adicional al estudiante explicando la razón detrás de la nota asignada.</w:t>
      </w:r>
    </w:p>
    <w:p w:rsidR="00000000" w:rsidDel="00000000" w:rsidP="00000000" w:rsidRDefault="00000000" w:rsidRPr="00000000" w14:paraId="00000086">
      <w:pPr>
        <w:widowControl w:val="0"/>
        <w:numPr>
          <w:ilvl w:val="1"/>
          <w:numId w:val="3"/>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Sustentar la nota original si se determina que el reclamo no es válido y la evaluación se realizó correctamente.</w:t>
      </w:r>
    </w:p>
    <w:p w:rsidR="00000000" w:rsidDel="00000000" w:rsidP="00000000" w:rsidRDefault="00000000" w:rsidRPr="00000000" w14:paraId="00000087">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completada la revisión y la acción correspondiente, el profesor guarda los cambios y finaliza el proceso de respuesta al reclamo.</w:t>
      </w:r>
    </w:p>
    <w:p w:rsidR="00000000" w:rsidDel="00000000" w:rsidP="00000000" w:rsidRDefault="00000000" w:rsidRPr="00000000" w14:paraId="00000088">
      <w:pPr>
        <w:pStyle w:val="Heading2"/>
        <w:widowControl w:val="0"/>
        <w:numPr>
          <w:ilvl w:val="1"/>
          <w:numId w:val="5"/>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6dr2kgr21mas" w:id="16"/>
      <w:bookmarkEnd w:id="16"/>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89">
      <w:pPr>
        <w:numPr>
          <w:ilvl w:val="0"/>
          <w:numId w:val="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reclamo presenta información insuficiente o es ambiguo, el profesor puede solicitar al estudiante que proporcione más detalles antes de continuar con la revisión.</w:t>
      </w:r>
    </w:p>
    <w:p w:rsidR="00000000" w:rsidDel="00000000" w:rsidP="00000000" w:rsidRDefault="00000000" w:rsidRPr="00000000" w14:paraId="0000008A">
      <w:pPr>
        <w:pStyle w:val="Heading2"/>
        <w:widowControl w:val="0"/>
        <w:numPr>
          <w:ilvl w:val="1"/>
          <w:numId w:val="5"/>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5bm3sayuorue" w:id="17"/>
      <w:bookmarkEnd w:id="17"/>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8B">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aZIBdt8pjh1xO3S/3UDKauYIkQ==">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Rzctcy1FUFJ4STA1aGkzMS1wczdjZW52UFdzZm52e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