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SICMA</w:t>
      </w:r>
      <w:r>
        <w:t xml:space="preserve"> </w:t>
      </w:r>
      <w:r>
        <w:t xml:space="preserve">·</w:t>
      </w:r>
      <w:r>
        <w:t xml:space="preserve"> </w:t>
      </w:r>
      <w:r>
        <w:t xml:space="preserve">Diagramas</w:t>
      </w:r>
      <w:r>
        <w:t xml:space="preserve"> </w:t>
      </w:r>
      <w:r>
        <w:t xml:space="preserve">de</w:t>
      </w:r>
      <w:r>
        <w:t xml:space="preserve"> </w:t>
      </w:r>
      <w:r>
        <w:t xml:space="preserve">Actividad</w:t>
      </w:r>
    </w:p>
    <w:p>
      <w:pPr>
        <w:pStyle w:val="Subtitle"/>
      </w:pPr>
      <w:r>
        <w:t xml:space="preserve">SICMA-ACT</w:t>
      </w:r>
      <w:r>
        <w:t xml:space="preserve"> </w:t>
      </w:r>
      <w:r>
        <w:t xml:space="preserve">·</w:t>
      </w:r>
      <w:r>
        <w:t xml:space="preserve"> </w:t>
      </w:r>
      <w:r>
        <w:t xml:space="preserve">Versión</w:t>
      </w:r>
      <w:r>
        <w:t xml:space="preserve"> </w:t>
      </w:r>
      <w:r>
        <w:t xml:space="preserve">0.3</w:t>
      </w:r>
      <w:r>
        <w:t xml:space="preserve"> </w:t>
      </w:r>
      <w:r>
        <w:t xml:space="preserve">·</w:t>
      </w:r>
      <w:r>
        <w:t xml:space="preserve"> </w:t>
      </w:r>
      <w:r>
        <w:t xml:space="preserve">Borrador</w:t>
      </w:r>
    </w:p>
    <w:p>
      <w:pPr>
        <w:pStyle w:val="Date"/>
      </w:pPr>
      <w:r>
        <w:t xml:space="preserve">2026-10-10</w:t>
      </w:r>
    </w:p>
    <w:bookmarkStart w:id="20" w:name="control-de-cambios"/>
    <w:p>
      <w:pPr>
        <w:pStyle w:val="Heading2"/>
      </w:pPr>
      <w:r>
        <w:t xml:space="preserve">Control de cambios</w:t>
      </w:r>
    </w:p>
    <w:p>
      <w:pPr>
        <w:pStyle w:val="FirstParagraph"/>
      </w:pPr>
      <w:r>
        <w:t xml:space="preserve">Borrador 0.3 del documento SICMA-ACT. La portada se agrega al final, al pasarlo a Word.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Campo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ID del documento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Borrador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Basado 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SICMA-REQ v0.4, SICMA-CUS v0.3 y SICMA-CLA v0.3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Versión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Fecha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Autor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Cambio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Borrador inicial de los diagramas de actividad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AD-08: aprueba la Jefatura. AD-09: asigna el Administrador. Se cierra D-14 y se actualizan los diagramas de ambas actividades.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AD-08: la Jefatura aprueba por Microsoft Teams con Power Automate. Se actualiza el diagrama y se cierra D-01.</w:t>
            </w:r>
          </w:p>
        </w:tc>
      </w:tr>
    </w:tbl>
    <w:bookmarkEnd w:id="20"/>
    <w:bookmarkStart w:id="21" w:name="resumen-y-propósito"/>
    <w:p>
      <w:pPr>
        <w:pStyle w:val="Heading2"/>
      </w:pPr>
      <w:r>
        <w:t xml:space="preserve">Resumen y propósito</w:t>
      </w:r>
    </w:p>
    <w:p>
      <w:pPr>
        <w:pStyle w:val="FirstParagraph"/>
      </w:pPr>
      <w:r>
        <w:t xml:space="preserve">Este documento tiene 9 diagramas de actividad que muestran, paso a paso, cómo funcionan los flujos más importantes de SICMA. Cubren 13 de los 25 casos de uso de SICMA-CUS.</w:t>
      </w:r>
    </w:p>
    <w:p>
      <w:pPr>
        <w:pStyle w:val="BodyText"/>
      </w:pPr>
      <w:r>
        <w:t xml:space="preserve">Un diagrama de actividad muestra el orden de los pasos, quién hace cada uno y qué pasa cuando algo falla. Se hicieron solo para los flujos con decisiones, varios actores o sistemas externos. Los casos de uso que solo crean, editan o consultan datos sin ramas (CU-03, CU-05 a CU-09, CU-11, CU-13, CU-15, CU-18, CU-24 y CU-25) ya quedan completos en sus fichas de SICMA-CUS.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Diagrama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Caso de 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Iniciar sesión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Recuperar contraseña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Gestionar un activo y su historial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Recibir una lectura y generar la 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CU-10, CU-12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Sincronizar servidores desde Zabbix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Asociar la huella de un 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Registrar un intento de acceso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Solicitar y aprobar una intervención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CU-19 y CU-20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Asignar, ejecutar y cerrar una intervención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CU-21 a CU-23</w:t>
            </w:r>
          </w:p>
        </w:tc>
      </w:tr>
    </w:tbl>
    <w:p>
      <w:pPr>
        <w:pStyle w:val="BodyText"/>
      </w:pPr>
      <w:r>
        <w:t xml:space="preserve">Sirven de base para los mockups (SICMA-MCK), el backend y los casos de prueba (SICMA-CPR), porque cada rama del diagrama es un caso que se debe probar.</w:t>
      </w:r>
    </w:p>
    <w:bookmarkEnd w:id="21"/>
    <w:bookmarkStart w:id="22" w:name="convenciones"/>
    <w:p>
      <w:pPr>
        <w:pStyle w:val="Heading2"/>
      </w:pPr>
      <w:r>
        <w:t xml:space="preserve">Convenciones</w:t>
      </w:r>
    </w:p>
    <w:p>
      <w:pPr>
        <w:pStyle w:val="FirstParagraph"/>
      </w:pPr>
      <w:r>
        <w:t xml:space="preserve">Los diagramas usan la notación de actividad de UML (OMG, ISO/IEC 19501) en una versión simple. Cada diagrama se divide en calles, una por actor o sistema, y cada paso está en la calle de quien lo hace.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Símbolo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Círculo relleno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Inicio del flujo.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Círculo con anillo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Fin del flujo.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Rectángulo redondeado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 paso que hace un actor o un sistema.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Rombo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Una decisión. Cada salida lleva su condición escrita.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Flecha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orden entre pasos.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Calle (banda)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Quién hace los pasos que quedan dentro.</w:t>
            </w:r>
          </w:p>
        </w:tc>
      </w:tr>
    </w:tbl>
    <w:p>
      <w:pPr>
        <w:pStyle w:val="BodyText"/>
      </w:pPr>
      <w:r>
        <w:t xml:space="preserve">Reglas de lectura:</w:t>
      </w:r>
    </w:p>
    <w:p>
      <w:pPr>
        <w:numPr>
          <w:ilvl w:val="0"/>
          <w:numId w:val="1001"/>
        </w:numPr>
        <w:pStyle w:val="Compact"/>
      </w:pPr>
      <w:r>
        <w:t xml:space="preserve">Los pasos y las condiciones usan los mismos términos que SICMA-CUS y los nombres de clase de SICMA-CLA.</w:t>
      </w:r>
    </w:p>
    <w:p>
      <w:pPr>
        <w:numPr>
          <w:ilvl w:val="0"/>
          <w:numId w:val="1001"/>
        </w:numPr>
        <w:pStyle w:val="Compact"/>
      </w:pPr>
      <w:r>
        <w:t xml:space="preserve">Cada rama de error de las fichas de SICMA-CUS aparece como una salida del rombo correspondiente.</w:t>
      </w:r>
    </w:p>
    <w:p>
      <w:pPr>
        <w:numPr>
          <w:ilvl w:val="0"/>
          <w:numId w:val="1001"/>
        </w:numPr>
        <w:pStyle w:val="Compact"/>
      </w:pPr>
      <w:r>
        <w:t xml:space="preserve">Un paso que escribe en la base de datos se confirma completo o se revierte completo; no se dibuja el detalle técnico de la transacción.</w:t>
      </w:r>
    </w:p>
    <w:p>
      <w:pPr>
        <w:numPr>
          <w:ilvl w:val="0"/>
          <w:numId w:val="1001"/>
        </w:numPr>
        <w:pStyle w:val="Compact"/>
      </w:pPr>
      <w:r>
        <w:t xml:space="preserve">El texto bajo cada diagrama indica las reglas de integridad de SICMA-CLA (RI-nn) que el flujo hace cumplir.</w:t>
      </w:r>
    </w:p>
    <w:bookmarkEnd w:id="22"/>
    <w:bookmarkStart w:id="59" w:name="diagramas-de-actividad"/>
    <w:p>
      <w:pPr>
        <w:pStyle w:val="Heading2"/>
      </w:pPr>
      <w:r>
        <w:t xml:space="preserve">Diagramas de actividad</w:t>
      </w:r>
    </w:p>
    <w:p>
      <w:pPr>
        <w:pStyle w:val="FirstParagraph"/>
      </w:pPr>
      <w:r>
        <w:t xml:space="preserve">Cada diagrama indica el caso de uso que modela, quién participa en cada calle y las ramas de error de la ficha. Las reglas de integridad (RI-nn) son las de SICMA-CLA.</w:t>
      </w:r>
    </w:p>
    <w:bookmarkStart w:id="26" w:name="ad-01-iniciar-sesión-cu-01"/>
    <w:p>
      <w:pPr>
        <w:pStyle w:val="Heading3"/>
      </w:pPr>
      <w:r>
        <w:t xml:space="preserve">AD-01 · Iniciar sesión (CU-01)</w:t>
      </w:r>
    </w:p>
    <w:p>
      <w:pPr>
        <w:pStyle w:val="CaptionedFigure"/>
      </w:pPr>
      <w:r>
        <w:drawing>
          <wp:inline>
            <wp:extent cx="5067300" cy="3566715"/>
            <wp:effectExtent b="0" l="0" r="0" t="0"/>
            <wp:docPr descr="CU-01 · 2 calles, 1 decisión" title="" id="24" name="Picture"/>
            <a:graphic>
              <a:graphicData uri="http://schemas.openxmlformats.org/drawingml/2006/picture">
                <pic:pic>
                  <pic:nvPicPr>
                    <pic:cNvPr descr="img/a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566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CU-01 · 2 calles, 1 decisión</w:t>
      </w:r>
    </w:p>
    <w:p>
      <w:pPr>
        <w:pStyle w:val="BodyText"/>
      </w:pPr>
      <w:r>
        <w:t xml:space="preserve">El usuario ingresa correo y contraseña. Si los datos no son válidos o la cuenta está desactivada o bloqueada, SICMA suma un intento fallido y rechaza sin decir qué dato falló (RI-03, RNF-SEG-02). Si son válidos, entrega un token JWT con el rol y el usuario ve solo las funciones de su rol. Al cerrar sesión o quedar inactivo, el token deja de valer.</w:t>
      </w:r>
    </w:p>
    <w:bookmarkEnd w:id="26"/>
    <w:bookmarkStart w:id="30" w:name="ad-02-recuperar-contraseña-cu-02"/>
    <w:p>
      <w:pPr>
        <w:pStyle w:val="Heading3"/>
      </w:pPr>
      <w:r>
        <w:t xml:space="preserve">AD-02 · Recuperar contraseña (CU-02)</w:t>
      </w:r>
    </w:p>
    <w:p>
      <w:pPr>
        <w:pStyle w:val="CaptionedFigure"/>
      </w:pPr>
      <w:r>
        <w:drawing>
          <wp:inline>
            <wp:extent cx="5067300" cy="4531915"/>
            <wp:effectExtent b="0" l="0" r="0" t="0"/>
            <wp:docPr descr="CU-02 · 2 calles, 2 decisiones" title="" id="28" name="Picture"/>
            <a:graphic>
              <a:graphicData uri="http://schemas.openxmlformats.org/drawingml/2006/picture">
                <pic:pic>
                  <pic:nvPicPr>
                    <pic:cNvPr descr="img/a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531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CU-02 · 2 calles, 2 decisiones</w:t>
      </w:r>
    </w:p>
    <w:p>
      <w:pPr>
        <w:pStyle w:val="BodyText"/>
      </w:pPr>
      <w:r>
        <w:t xml:space="preserve">SICMA envía por SMTP un enlace de un solo uso y con vencimiento. Un enlace vencido o ya usado se rechaza (RI-04). La contraseña nueva debe cumplir la política; si no la cumple, se pide otra y el enlace sigue vigente. Al guardarla, SICMA la almacena con hash y deja el enlace inutilizado (RI-02). Una contraseña vencida por antigüedad obliga a este cambio al ingresar.</w:t>
      </w:r>
    </w:p>
    <w:bookmarkEnd w:id="30"/>
    <w:bookmarkStart w:id="34" w:name="Xea6711bc140eeb4d21afa06a14e2eb287c815b7"/>
    <w:p>
      <w:pPr>
        <w:pStyle w:val="Heading3"/>
      </w:pPr>
      <w:r>
        <w:t xml:space="preserve">AD-03 · Gestionar un activo y su historial (CU-04)</w:t>
      </w:r>
    </w:p>
    <w:p>
      <w:pPr>
        <w:pStyle w:val="CaptionedFigure"/>
      </w:pPr>
      <w:r>
        <w:drawing>
          <wp:inline>
            <wp:extent cx="5067300" cy="4313237"/>
            <wp:effectExtent b="0" l="0" r="0" t="0"/>
            <wp:docPr descr="CU-04 · 2 calles, 2 decisiones" title="" id="32" name="Picture"/>
            <a:graphic>
              <a:graphicData uri="http://schemas.openxmlformats.org/drawingml/2006/picture">
                <pic:pic>
                  <pic:nvPicPr>
                    <pic:cNvPr descr="img/a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313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CU-04 · 2 calles, 2 decisiones</w:t>
      </w:r>
    </w:p>
    <w:p>
      <w:pPr>
        <w:pStyle w:val="BodyText"/>
      </w:pPr>
      <w:r>
        <w:t xml:space="preserve">El Administrador o el Técnico registra o edita un activo con su ubicación y responsable. SICMA valida los campos obligatorios y que el código no se repita (RI-06); si falla, no guarda e indica qué corregir. Si valida, guarda el activo y anota el cambio en su historial en una sola operación (RI-07). Si la escritura falla, revierte ambos y avisa del error.</w:t>
      </w:r>
    </w:p>
    <w:bookmarkEnd w:id="34"/>
    <w:bookmarkStart w:id="38" w:name="X13320bb59b58bfb931a04af3b090b63ba003f5d"/>
    <w:p>
      <w:pPr>
        <w:pStyle w:val="Heading3"/>
      </w:pPr>
      <w:r>
        <w:t xml:space="preserve">AD-04 · Recibir una lectura y generar la alerta (CU-10 y CU-12)</w:t>
      </w:r>
    </w:p>
    <w:p>
      <w:pPr>
        <w:pStyle w:val="CaptionedFigure"/>
      </w:pPr>
      <w:r>
        <w:drawing>
          <wp:inline>
            <wp:extent cx="3733800" cy="4911725"/>
            <wp:effectExtent b="0" l="0" r="0" t="0"/>
            <wp:docPr descr="CU-10 y CU-12 · 3 calles, 3 decisiones" title="" id="36" name="Picture"/>
            <a:graphic>
              <a:graphicData uri="http://schemas.openxmlformats.org/drawingml/2006/picture">
                <pic:pic>
                  <pic:nvPicPr>
                    <pic:cNvPr descr="img/a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11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CU-10 y CU-12 · 3 calles, 3 decisiones</w:t>
      </w:r>
    </w:p>
    <w:p>
      <w:pPr>
        <w:pStyle w:val="BodyText"/>
      </w:pPr>
      <w:r>
        <w:t xml:space="preserve">El dispositivo envía temperatura y humedad. SICMA rechaza los mensajes incompletos o de dispositivos no registrados o inactivos, y registra el error (RI-08). Si la escritura falla, no confirma y el dispositivo reintenta. Una lectura guardada se compara con los umbrales de su zona (RI-09). Si los supera, SICMA crea la alerta, o actualiza la que ya está abierta para esa zona y condición, y envía el correo a los responsables (RI-10). Si el correo falla, la alerta queda creada igual y el fallo se registra.</w:t>
      </w:r>
    </w:p>
    <w:bookmarkEnd w:id="38"/>
    <w:bookmarkStart w:id="42" w:name="Xc7bd166208b792ce7f70de9167bf19861a05aaa"/>
    <w:p>
      <w:pPr>
        <w:pStyle w:val="Heading3"/>
      </w:pPr>
      <w:r>
        <w:t xml:space="preserve">AD-05 · Sincronizar servidores desde Zabbix (CU-14)</w:t>
      </w:r>
    </w:p>
    <w:p>
      <w:pPr>
        <w:pStyle w:val="CaptionedFigure"/>
      </w:pPr>
      <w:r>
        <w:drawing>
          <wp:inline>
            <wp:extent cx="5067300" cy="4102100"/>
            <wp:effectExtent b="0" l="0" r="0" t="0"/>
            <wp:docPr descr="CU-14 · 2 calles, 1 decisión" title="" id="40" name="Picture"/>
            <a:graphic>
              <a:graphicData uri="http://schemas.openxmlformats.org/drawingml/2006/picture">
                <pic:pic>
                  <pic:nvPicPr>
                    <pic:cNvPr descr="img/a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10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CU-14 · 2 calles, 1 decisión</w:t>
      </w:r>
    </w:p>
    <w:p>
      <w:pPr>
        <w:pStyle w:val="BodyText"/>
      </w:pPr>
      <w:r>
        <w:t xml:space="preserve">Cada 1 minuto SICMA consulta a Zabbix. Si no responde, conserva la última sincronización, registra el fallo y el resto del sistema sigue operando. Si responde, actualiza el estado de cada servidor y registra solo los eventos nuevos, sin duplicarlos (RI-12), y deja constancia de la sincronización exitosa.</w:t>
      </w:r>
    </w:p>
    <w:bookmarkEnd w:id="42"/>
    <w:bookmarkStart w:id="46" w:name="X77eb6580598f26734cacee1fb27b2d5063d91f8"/>
    <w:p>
      <w:pPr>
        <w:pStyle w:val="Heading3"/>
      </w:pPr>
      <w:r>
        <w:t xml:space="preserve">AD-06 · Asociar la huella de un usuario (CU-16)</w:t>
      </w:r>
    </w:p>
    <w:p>
      <w:pPr>
        <w:pStyle w:val="CaptionedFigure"/>
      </w:pPr>
      <w:r>
        <w:drawing>
          <wp:inline>
            <wp:extent cx="5067300" cy="4901406"/>
            <wp:effectExtent b="0" l="0" r="0" t="0"/>
            <wp:docPr descr="CU-16 · 3 calles, 2 decisiones" title="" id="44" name="Picture"/>
            <a:graphic>
              <a:graphicData uri="http://schemas.openxmlformats.org/drawingml/2006/picture">
                <pic:pic>
                  <pic:nvPicPr>
                    <pic:cNvPr descr="img/a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901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CU-16 · 3 calles, 2 decisiones</w:t>
      </w:r>
    </w:p>
    <w:p>
      <w:pPr>
        <w:pStyle w:val="BodyText"/>
      </w:pPr>
      <w:r>
        <w:t xml:space="preserve">El departamento de contratistas pide enrolar o revocar una huella y el Administrador lo registra. Para asociar, SICMA verifica que el identificador no pertenezca a otra persona; si ya existe, rechaza. Si está libre, guarda la asociación con su vigencia y estado (RI-13). Para revocar, SICMA deshabilita la asociación vigente. SICMA nunca guarda imágenes ni plantillas de huella, solo el identificador que usa el lector.</w:t>
      </w:r>
    </w:p>
    <w:bookmarkEnd w:id="46"/>
    <w:bookmarkStart w:id="50" w:name="Xc4f19df98ce1c408e73b0e5ee6b4e1a77c8c91d"/>
    <w:p>
      <w:pPr>
        <w:pStyle w:val="Heading3"/>
      </w:pPr>
      <w:r>
        <w:t xml:space="preserve">AD-07 · Registrar un intento de acceso (CU-17)</w:t>
      </w:r>
    </w:p>
    <w:p>
      <w:pPr>
        <w:pStyle w:val="CaptionedFigure"/>
      </w:pPr>
      <w:r>
        <w:drawing>
          <wp:inline>
            <wp:extent cx="5067300" cy="4554537"/>
            <wp:effectExtent b="0" l="0" r="0" t="0"/>
            <wp:docPr descr="CU-17 · 2 calles, 2 decisiones" title="" id="48" name="Picture"/>
            <a:graphic>
              <a:graphicData uri="http://schemas.openxmlformats.org/drawingml/2006/picture">
                <pic:pic>
                  <pic:nvPicPr>
                    <pic:cNvPr descr="img/a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554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CU-17 · 2 calles, 2 decisiones</w:t>
      </w:r>
    </w:p>
    <w:p>
      <w:pPr>
        <w:pStyle w:val="BodyText"/>
      </w:pPr>
      <w:r>
        <w:t xml:space="preserve">El lector compara la huella en su PC y el PC envía a SICMA el identificador, el lector y el resultado. Si el mensaje no es válido, SICMA lo rechaza y registra el error. Si el identificador no corresponde a un usuario vigente, guarda el intento como denegado, sin usuario. En los demás casos guarda el intento con usuario, fecha, resultado y lector (RI-14). El intento no se puede editar ni eliminar (RI-12).</w:t>
      </w:r>
    </w:p>
    <w:bookmarkEnd w:id="50"/>
    <w:bookmarkStart w:id="54" w:name="X590b8fb51c7873b1f105cef899942001cd2a49a"/>
    <w:p>
      <w:pPr>
        <w:pStyle w:val="Heading3"/>
      </w:pPr>
      <w:r>
        <w:t xml:space="preserve">AD-08 · Solicitar y aprobar una intervención (CU-19 y CU-20)</w:t>
      </w:r>
    </w:p>
    <w:p>
      <w:pPr>
        <w:pStyle w:val="CaptionedFigure"/>
      </w:pPr>
      <w:r>
        <w:drawing>
          <wp:inline>
            <wp:extent cx="5067300" cy="4507230"/>
            <wp:effectExtent b="0" l="0" r="0" t="0"/>
            <wp:docPr descr="CU-19 y CU-20 · 4 calles, 2 decisiones" title="" id="52" name="Picture"/>
            <a:graphic>
              <a:graphicData uri="http://schemas.openxmlformats.org/drawingml/2006/picture">
                <pic:pic>
                  <pic:nvPicPr>
                    <pic:cNvPr descr="img/a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507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CU-19 y CU-20 · 4 calles, 2 decisiones</w:t>
      </w:r>
    </w:p>
    <w:p>
      <w:pPr>
        <w:pStyle w:val="BodyText"/>
      </w:pPr>
      <w:r>
        <w:t xml:space="preserve">El Técnico llena el formulario de Microsoft Forms y Power Automate lo envía a SICMA, que valida los datos. Si faltan datos o el término es anterior al inicio, no se registra y se avisa. Una solicitud válida queda Pendiente (RI-15). La Jefatura la aprueba o la rechaza en Microsoft Teams, con motivo si la rechaza. Power Automate entrega la decisión y SICMA registra quién la tomó y cuándo (RI-16). Si la Jefatura no responde en Teams, la solicitud sigue Pendiente.</w:t>
      </w:r>
    </w:p>
    <w:bookmarkEnd w:id="54"/>
    <w:bookmarkStart w:id="58" w:name="X15ca93294b7e10c24fbdc6714ff5761fb59a496"/>
    <w:p>
      <w:pPr>
        <w:pStyle w:val="Heading3"/>
      </w:pPr>
      <w:r>
        <w:t xml:space="preserve">AD-09 · Asignar, ejecutar y cerrar una intervención (CU-21, CU-22 y CU-23)</w:t>
      </w:r>
    </w:p>
    <w:p>
      <w:pPr>
        <w:pStyle w:val="CaptionedFigure"/>
      </w:pPr>
      <w:r>
        <w:drawing>
          <wp:inline>
            <wp:extent cx="3733800" cy="5286274"/>
            <wp:effectExtent b="0" l="0" r="0" t="0"/>
            <wp:docPr descr="CU-21 a CU-23 · 4 calles, 3 decisiones" title="" id="56" name="Picture"/>
            <a:graphic>
              <a:graphicData uri="http://schemas.openxmlformats.org/drawingml/2006/picture">
                <pic:pic>
                  <pic:nvPicPr>
                    <pic:cNvPr descr="img/a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86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CU-21 a CU-23 · 4 calles, 3 decisiones</w:t>
      </w:r>
    </w:p>
    <w:p>
      <w:pPr>
        <w:pStyle w:val="BodyText"/>
      </w:pPr>
      <w:r>
        <w:t xml:space="preserve">El Administrador elige un técnico para una intervención Aprobada. Si el técnico ya tiene otra intervención en ese horario, SICMA avisa y el Administrador elige otro (RI-17). Con el técnico disponible, SICMA guarda la asignación y agenda en el calendario compartido; si el calendario falla, la asignación queda guardada y se reintenta el agendamiento. La intervención pasa a Asignada y SICMA avisa el cambio a los involucrados. Solo el Técnico asignado puede iniciarla y registrar lo realizado; sin resultado no se puede cerrar. Cada cambio de estado queda en el historial (RI-18).</w:t>
      </w:r>
    </w:p>
    <w:bookmarkEnd w:id="58"/>
    <w:bookmarkEnd w:id="59"/>
    <w:bookmarkStart w:id="60" w:name="trazabilidad"/>
    <w:p>
      <w:pPr>
        <w:pStyle w:val="Heading2"/>
      </w:pPr>
      <w:r>
        <w:t xml:space="preserve">Trazabilidad</w:t>
      </w:r>
    </w:p>
    <w:p>
      <w:pPr>
        <w:pStyle w:val="FirstParagraph"/>
      </w:pPr>
      <w:r>
        <w:t xml:space="preserve">Cada diagrama se apoya en un caso de uso de SICMA-CUS, usa clases de SICMA-CLA y hace cumplir sus reglas de integridad. La columna de casos de prueba se completa cuando exista SICMA-CPR.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Diagrama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Caso de uso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Clases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Reglas de integridad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Casos de prueba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Usuario, 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RI-02, RI-03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Usuario, TokenRecuperacion, Notificacion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RI-02, RI-04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Activo, HistorialActivo, TipoActivo, EstadoActivo, Ubicacion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RI-06, RI-07, RI-12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CU-10, CU-12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DispositivoIoT, Lectura, Umbral, Alerta, ResponsableAlerta, Notificacion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RI-08, RI-09, RI-10, RI-12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ServidorMonitoreado, EventoTecnico, Sincronizacion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HuellaAsociada, Usuario, Lector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IntentoAcceso, Lector, HuellaAsociada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RI-12, RI-13, RI-14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CU-19, CU-20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Intervencion, IntervencionActivo, DecisionIntervencion, CambioEstadoIntervencion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RI-15, RI-16, RI-18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CU-21, CU-22, CU-23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Intervencion, EjecucionIntervencion, CambioEstadoIntervencion, Notificacion, 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RI-16, RI-17, RI-18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</w:tbl>
    <w:p>
      <w:pPr>
        <w:pStyle w:val="BodyText"/>
      </w:pPr>
      <w:r>
        <w:t xml:space="preserve">Los casos de uso sin diagrama propio se prueban directamente con los pasos de su ficha en SICMA-CUS.</w:t>
      </w:r>
    </w:p>
    <w:bookmarkEnd w:id="60"/>
    <w:bookmarkStart w:id="61" w:name="supuestos-y-pendientes"/>
    <w:p>
      <w:pPr>
        <w:pStyle w:val="Heading2"/>
      </w:pPr>
      <w:r>
        <w:t xml:space="preserve">Supuestos y pendientes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Pendiente o supuesto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Supuesto mientras tanto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Afecta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Por qué canal aprueba la Jefatura una intervención. Decisión del usuario: Microsoft Teams.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Jefatura aprueba en Teams con Power Automate y el resultado llega a SICMA.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Resuelto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Cómo se comunican Power Automate y SICMA.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Power Automate llama a la API de SICMA.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Modelo del lector HID y cómo llegan los registros a SICMA.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PC conectado los envía a la API con el identificador de huella.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AD-06, AD-07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Quién administra el calendario de Microsoft 365.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Una cuenta de servicio.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Quién asigna al técnico a la intervención.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Administrador.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Resuelto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Número de intentos fallidos y duración del bloqueo de cuenta.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Cinco intentos y 15 minutos.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Cuántas veces y cada cuánto se reintenta el agendamiento en el calendario.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Reintenta cada 5 minutos hasta lograrlo.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 los diagramas deben mostrar el reintento del dispositivo IoT y su intervalo.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dispositivo reintenta; el intervalo se define en el firmware.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</w:tbl>
    <w:p>
      <w:pPr>
        <w:pStyle w:val="BodyText"/>
      </w:pPr>
      <w:r>
        <w:t xml:space="preserve">Estados de una intervención usados aquí: Pendiente, Aprobada, Rechazada, Asignada, En ejecución y Cerrada. Son los mismos de SICMA-CUS y SICMA-CLA.</w:t>
      </w:r>
    </w:p>
    <w:bookmarkEnd w:id="61"/>
    <w:bookmarkStart w:id="62" w:name="glosario-y-referencias"/>
    <w:p>
      <w:pPr>
        <w:pStyle w:val="Heading2"/>
      </w:pPr>
      <w:r>
        <w:t xml:space="preserve">Glosario y referencias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Término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Definición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Diagrama de actividad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Dibujo del orden de los pasos de un flujo, con sus decisiones y quien hace cada paso.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Calle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Banda del diagrama que agrupa los pasos de un mismo actor o sistema.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Punto del flujo donde se sigue por una u otra rama según una condición.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Rama de 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Camino que se sigue cuando algo falla; en cada diagrama termina en un fin propio.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Key 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 del servicio sobre el que se hará una intervención; no la aprueba, solo recibe avisos.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Pendiente, Aprobada, Rechazada, Asignada, En ejecución, Cerrada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Estados de una intervención.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RI-nn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Regla de integridad del modelo de clases (SICMA-CLA).</w:t>
            </w:r>
          </w:p>
        </w:tc>
      </w:tr>
    </w:tbl>
    <w:p>
      <w:pPr>
        <w:pStyle w:val="BodyText"/>
      </w:pPr>
      <w:r>
        <w:rPr>
          <w:bCs/>
          <w:b/>
        </w:rPr>
        <w:t xml:space="preserve">Referencias</w:t>
      </w:r>
    </w:p>
    <w:p>
      <w:pPr>
        <w:numPr>
          <w:ilvl w:val="0"/>
          <w:numId w:val="1002"/>
        </w:numPr>
        <w:pStyle w:val="Compact"/>
      </w:pPr>
      <w:r>
        <w:t xml:space="preserve">OMG. Unified Modeling Language (UML), diagramas de actividad (ISO/IEC 19501).</w:t>
      </w:r>
    </w:p>
    <w:p>
      <w:pPr>
        <w:numPr>
          <w:ilvl w:val="0"/>
          <w:numId w:val="1002"/>
        </w:numPr>
        <w:pStyle w:val="Compact"/>
      </w:pPr>
      <w:r>
        <w:t xml:space="preserve">SICMA Requerimientos (SICMA-REQ v0.4).</w:t>
      </w:r>
    </w:p>
    <w:p>
      <w:pPr>
        <w:numPr>
          <w:ilvl w:val="0"/>
          <w:numId w:val="1002"/>
        </w:numPr>
        <w:pStyle w:val="Compact"/>
      </w:pPr>
      <w:r>
        <w:t xml:space="preserve">SICMA Casos de Uso (SICMA-CUS v0.3).</w:t>
      </w:r>
    </w:p>
    <w:p>
      <w:pPr>
        <w:numPr>
          <w:ilvl w:val="0"/>
          <w:numId w:val="1002"/>
        </w:numPr>
        <w:pStyle w:val="Compact"/>
      </w:pPr>
      <w:r>
        <w:t xml:space="preserve">SICMA Diagrama de Clases (SICMA-CLA v0.3).</w:t>
      </w:r>
    </w:p>
    <w:p>
      <w:pPr>
        <w:numPr>
          <w:ilvl w:val="0"/>
          <w:numId w:val="1002"/>
        </w:numPr>
        <w:pStyle w:val="Compact"/>
      </w:pPr>
      <w:r>
        <w:t xml:space="preserve">SICMA Formato Universal.</w:t>
      </w:r>
    </w:p>
    <w:bookmarkEnd w:id="62"/>
    <w:sectPr>
      <w:pgSz w:w="12240" w:h="15840"/>
      <w:pgMar w:left="1247" w:right="1247" w:top="1247" w:bottom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cs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cs="Calibri" w:eastAsia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cs="Calibri" w:eastAsia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cs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cs="Calibri" w:eastAsia="Calib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Calibri" w:hAnsi="Calibri" w:cs="Calibri" w:eastAsia="Calibr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 w:cs="Calibri" w:eastAsia="Calib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 w:cs="Calibri" w:eastAsia="Calib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Calibri" w:hAnsi="Calibri" w:cs="Calibri" w:eastAsia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Calibri" w:hAnsi="Calibri" w:cs="Calibri" w:eastAsia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 w:cs="Calibri" w:eastAsia="Calib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 w:cs="Calibri" w:eastAsia="Calib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 w:cs="Calibri" w:eastAsia="Calibri"/>
      <w:b/>
    </w:rPr>
  </w:style>
  <w:style w:customStyle="1" w:styleId="Definition" w:type="paragraph">
    <w:name w:val="Definition"/>
    <w:basedOn w:val="Normal"/>
    <w:rPr>
      <w:rFonts w:ascii="Calibri" w:hAnsi="Calibri" w:cs="Calibri" w:eastAsia="Calib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 w:cs="Calibri" w:eastAsia="Calibri"/>
      <w:i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 w:cs="Calibri" w:eastAsia="Calibri"/>
    </w:rPr>
  </w:style>
  <w:style w:customStyle="1" w:styleId="ImageCaption" w:type="paragraph">
    <w:name w:val="Image Caption"/>
    <w:basedOn w:val="Caption"/>
    <w:rPr>
      <w:rFonts w:ascii="Calibri" w:hAnsi="Calibri" w:cs="Calibri" w:eastAsia="Calibri"/>
    </w:rPr>
  </w:style>
  <w:style w:customStyle="1" w:styleId="Figure" w:type="paragraph">
    <w:name w:val="Figure"/>
    <w:basedOn w:val="Normal"/>
    <w:rPr>
      <w:rFonts w:ascii="Calibri" w:hAnsi="Calibri" w:cs="Calibri" w:eastAsia="Calibri"/>
    </w:rPr>
  </w:style>
  <w:style w:customStyle="1" w:styleId="CaptionedFigure" w:type="paragraph">
    <w:name w:val="Captioned Figure"/>
    <w:basedOn w:val="Figure"/>
    <w:pPr>
      <w:keepNext/>
    </w:pPr>
    <w:rPr>
      <w:rFonts w:ascii="Calibri" w:hAnsi="Calibri" w:cs="Calibri" w:eastAsia="Calib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Calibri" w:hAnsi="Calibri" w:cs="Calibri" w:eastAsia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alibri" w:hAnsi="Calibri" w:cs="Calibri" w:eastAsia="Calibri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3" Type="http://schemas.openxmlformats.org/officeDocument/2006/relationships/image" Target="media/rId23.png"/><Relationship Id="rId27" Type="http://schemas.openxmlformats.org/officeDocument/2006/relationships/image" Target="media/rId27.png"/><Relationship Id="rId31" Type="http://schemas.openxmlformats.org/officeDocument/2006/relationships/image" Target="media/rId31.png"/><Relationship Id="rId35" Type="http://schemas.openxmlformats.org/officeDocument/2006/relationships/image" Target="media/rId35.png"/><Relationship Id="rId39" Type="http://schemas.openxmlformats.org/officeDocument/2006/relationships/image" Target="media/rId39.png"/><Relationship Id="rId43" Type="http://schemas.openxmlformats.org/officeDocument/2006/relationships/image" Target="media/rId43.png"/><Relationship Id="rId47" Type="http://schemas.openxmlformats.org/officeDocument/2006/relationships/image" Target="media/rId47.png"/><Relationship Id="rId51" Type="http://schemas.openxmlformats.org/officeDocument/2006/relationships/image" Target="media/rId51.png"/><Relationship Id="rId55" Type="http://schemas.openxmlformats.org/officeDocument/2006/relationships/image" Target="media/rId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SICMA · Diagramas de Actividad</dc:title>
  <dc:creator/>
  <cp:keywords/>
  <dcterms:created xsi:type="dcterms:W3CDTF">2026-10-10T13:55:54Z</dcterms:created>
  <dcterms:modified xsi:type="dcterms:W3CDTF">2026-10-10T13:55:54Z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2026-10-10</vt:lpwstr>
  </property>
  <property fmtid="{D5CDD505-2E9C-101B-9397-08002B2CF9AE}" pid="3" name="subtitle">
    <vt:lpwstr>SICMA-ACT · Versión 0.3 · Borrador</vt:lpwstr>
  </property>
</Properties>
</file>