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A656" w14:textId="77777777" w:rsidR="002965D8" w:rsidRPr="009164D0" w:rsidRDefault="002965D8" w:rsidP="002965D8">
      <w:pPr>
        <w:spacing w:after="100"/>
        <w:jc w:val="center"/>
        <w:rPr>
          <w:lang w:val="es-ES"/>
        </w:rPr>
      </w:pPr>
      <w:r w:rsidRPr="009164D0">
        <w:rPr>
          <w:b/>
          <w:bCs/>
          <w:color w:val="1F3864"/>
          <w:sz w:val="64"/>
          <w:szCs w:val="64"/>
          <w:lang w:val="es-ES"/>
        </w:rPr>
        <w:t>SICMA</w:t>
      </w:r>
    </w:p>
    <w:p w14:paraId="24DF16C6" w14:textId="77777777" w:rsidR="002965D8" w:rsidRPr="009164D0" w:rsidRDefault="002965D8" w:rsidP="002965D8">
      <w:pPr>
        <w:spacing w:after="60"/>
        <w:jc w:val="center"/>
        <w:rPr>
          <w:lang w:val="es-ES"/>
        </w:rPr>
      </w:pPr>
      <w:r w:rsidRPr="009164D0">
        <w:rPr>
          <w:color w:val="595959"/>
          <w:sz w:val="24"/>
          <w:szCs w:val="24"/>
          <w:lang w:val="es-ES"/>
        </w:rPr>
        <w:t>Sistema Integrado de Control y Monitoreo de Activos</w:t>
      </w:r>
    </w:p>
    <w:p w14:paraId="1D796221" w14:textId="77777777" w:rsidR="002965D8" w:rsidRPr="002965D8" w:rsidRDefault="002965D8" w:rsidP="002965D8">
      <w:pPr>
        <w:rPr>
          <w:lang w:val="es-ES"/>
        </w:rPr>
      </w:pPr>
      <w:r w:rsidRPr="002965D8">
        <w:rPr>
          <w:lang w:val="es-ES"/>
        </w:rPr>
        <w:br/>
      </w:r>
      <w:r w:rsidRPr="002965D8">
        <w:rPr>
          <w:lang w:val="es-ES"/>
        </w:rPr>
        <w:br/>
      </w:r>
    </w:p>
    <w:p w14:paraId="54B6484E" w14:textId="77777777" w:rsidR="002965D8" w:rsidRPr="002965D8" w:rsidRDefault="002965D8" w:rsidP="002965D8">
      <w:pPr>
        <w:rPr>
          <w:lang w:val="es-ES"/>
        </w:rPr>
      </w:pPr>
    </w:p>
    <w:p w14:paraId="7000BAA4" w14:textId="77777777" w:rsidR="002965D8" w:rsidRPr="002965D8" w:rsidRDefault="002965D8" w:rsidP="002965D8">
      <w:pPr>
        <w:rPr>
          <w:lang w:val="es-ES"/>
        </w:rPr>
      </w:pPr>
    </w:p>
    <w:p w14:paraId="67050B67" w14:textId="77777777" w:rsidR="002965D8" w:rsidRPr="002965D8" w:rsidRDefault="002965D8" w:rsidP="002965D8">
      <w:pPr>
        <w:rPr>
          <w:lang w:val="es-ES"/>
        </w:rPr>
      </w:pPr>
    </w:p>
    <w:p w14:paraId="479368ED" w14:textId="77777777" w:rsidR="002965D8" w:rsidRPr="002965D8" w:rsidRDefault="002965D8" w:rsidP="002965D8">
      <w:pPr>
        <w:rPr>
          <w:lang w:val="es-ES"/>
        </w:rPr>
      </w:pPr>
    </w:p>
    <w:p w14:paraId="7D2D2542" w14:textId="77777777" w:rsidR="002965D8" w:rsidRPr="002965D8" w:rsidRDefault="002965D8" w:rsidP="002965D8">
      <w:pPr>
        <w:rPr>
          <w:lang w:val="es-ES"/>
        </w:rPr>
      </w:pPr>
    </w:p>
    <w:p w14:paraId="47FB5B06" w14:textId="77777777" w:rsidR="002965D8" w:rsidRPr="002965D8" w:rsidRDefault="002965D8" w:rsidP="002965D8">
      <w:pPr>
        <w:rPr>
          <w:lang w:val="es-ES"/>
        </w:rPr>
      </w:pPr>
    </w:p>
    <w:p w14:paraId="10DFCD60" w14:textId="77777777" w:rsidR="002965D8" w:rsidRPr="002965D8" w:rsidRDefault="002965D8" w:rsidP="002965D8">
      <w:pPr>
        <w:rPr>
          <w:lang w:val="es-ES"/>
        </w:rPr>
      </w:pPr>
      <w:r w:rsidRPr="002965D8">
        <w:rPr>
          <w:lang w:val="es-ES"/>
        </w:rPr>
        <w:br/>
      </w:r>
      <w:r w:rsidRPr="002965D8">
        <w:rPr>
          <w:lang w:val="es-ES"/>
        </w:rPr>
        <w:br/>
      </w:r>
    </w:p>
    <w:p w14:paraId="74D68755" w14:textId="77777777" w:rsidR="002965D8" w:rsidRPr="00EC2B4C" w:rsidRDefault="002965D8" w:rsidP="002965D8">
      <w:r w:rsidRPr="00EC2B4C">
        <w:rPr>
          <w:b/>
          <w:bCs/>
        </w:rPr>
        <w:t>Integrantes:</w:t>
      </w:r>
    </w:p>
    <w:p w14:paraId="6512AF34" w14:textId="77777777" w:rsidR="002965D8" w:rsidRPr="00EC2B4C" w:rsidRDefault="002965D8" w:rsidP="002965D8">
      <w:pPr>
        <w:numPr>
          <w:ilvl w:val="0"/>
          <w:numId w:val="2"/>
        </w:numPr>
        <w:spacing w:after="160" w:line="278" w:lineRule="auto"/>
        <w:jc w:val="left"/>
      </w:pPr>
      <w:r w:rsidRPr="00EC2B4C">
        <w:t>Alvaro Gonzales</w:t>
      </w:r>
    </w:p>
    <w:p w14:paraId="18D84A51" w14:textId="77777777" w:rsidR="002965D8" w:rsidRPr="00EC2B4C" w:rsidRDefault="002965D8" w:rsidP="002965D8">
      <w:pPr>
        <w:numPr>
          <w:ilvl w:val="0"/>
          <w:numId w:val="2"/>
        </w:numPr>
        <w:spacing w:after="160" w:line="278" w:lineRule="auto"/>
        <w:jc w:val="left"/>
      </w:pPr>
      <w:r w:rsidRPr="00EC2B4C">
        <w:t>Claudio Varas</w:t>
      </w:r>
    </w:p>
    <w:p w14:paraId="3CA7B288" w14:textId="77777777" w:rsidR="002965D8" w:rsidRPr="00EC2B4C" w:rsidRDefault="002965D8" w:rsidP="002965D8">
      <w:pPr>
        <w:numPr>
          <w:ilvl w:val="0"/>
          <w:numId w:val="2"/>
        </w:numPr>
        <w:spacing w:after="160" w:line="278" w:lineRule="auto"/>
        <w:jc w:val="left"/>
      </w:pPr>
      <w:r w:rsidRPr="00EC2B4C">
        <w:t>Fidel Rodriguez</w:t>
      </w:r>
    </w:p>
    <w:p w14:paraId="0878F296" w14:textId="77777777" w:rsidR="002965D8" w:rsidRDefault="002965D8" w:rsidP="002965D8">
      <w:pPr>
        <w:jc w:val="left"/>
      </w:pPr>
      <w:r w:rsidRPr="00EC2B4C">
        <w:rPr>
          <w:b/>
          <w:bCs/>
        </w:rPr>
        <w:t>Sección:</w:t>
      </w:r>
      <w:r w:rsidRPr="00EC2B4C">
        <w:t xml:space="preserve"> 00</w:t>
      </w:r>
      <w:r>
        <w:t>1</w:t>
      </w:r>
      <w:r w:rsidRPr="00EC2B4C">
        <w:t>V</w:t>
      </w:r>
      <w:r w:rsidRPr="00EC2B4C">
        <w:br/>
      </w:r>
      <w:r w:rsidRPr="00EC2B4C">
        <w:rPr>
          <w:b/>
          <w:bCs/>
        </w:rPr>
        <w:t>Docente:</w:t>
      </w:r>
      <w:r>
        <w:t xml:space="preserve"> Luis Bravo</w:t>
      </w:r>
      <w:r w:rsidRPr="00EC2B4C">
        <w:br/>
      </w:r>
      <w:r w:rsidRPr="00EC2B4C">
        <w:rPr>
          <w:b/>
          <w:bCs/>
        </w:rPr>
        <w:t>Sede/Campus:</w:t>
      </w:r>
      <w:r w:rsidRPr="00EC2B4C">
        <w:t xml:space="preserve"> Plaza Oeste</w:t>
      </w:r>
      <w:r w:rsidRPr="00EC2B4C">
        <w:br/>
      </w:r>
      <w:r w:rsidRPr="00EC2B4C">
        <w:rPr>
          <w:b/>
          <w:bCs/>
        </w:rPr>
        <w:t>Fecha de entrega:</w:t>
      </w:r>
      <w:r w:rsidRPr="00EC2B4C">
        <w:t xml:space="preserve"> </w:t>
      </w:r>
      <w:r>
        <w:t>septiembre</w:t>
      </w:r>
      <w:r w:rsidRPr="00EC2B4C">
        <w:t xml:space="preserve"> 2026    </w:t>
      </w:r>
    </w:p>
    <w:p w14:paraId="72D39C87" w14:textId="77777777" w:rsidR="00AE0278" w:rsidRPr="009164D0" w:rsidRDefault="00000000">
      <w:pPr>
        <w:rPr>
          <w:lang w:val="es-ES"/>
        </w:rPr>
      </w:pPr>
      <w:r>
        <w:rPr>
          <w:lang w:val="es-ES"/>
        </w:rPr>
        <w:br w:type="page"/>
      </w:r>
    </w:p>
    <w:p w14:paraId="3B28E6B9" w14:textId="77777777" w:rsidR="00EE0FDC" w:rsidRPr="002965D8" w:rsidRDefault="00000000">
      <w:pPr>
        <w:pStyle w:val="Ttulo1"/>
        <w:rPr>
          <w:lang w:val="es-ES"/>
        </w:rPr>
      </w:pPr>
      <w:r w:rsidRPr="002965D8">
        <w:rPr>
          <w:lang w:val="es-ES"/>
        </w:rPr>
        <w:lastRenderedPageBreak/>
        <w:t>Índice</w:t>
      </w:r>
    </w:p>
    <w:p w14:paraId="2B280E77" w14:textId="77777777" w:rsidR="00EE0FDC" w:rsidRPr="002965D8" w:rsidRDefault="00000000">
      <w:pPr>
        <w:rPr>
          <w:lang w:val="es-ES"/>
        </w:rPr>
      </w:pPr>
      <w:r>
        <w:fldChar w:fldCharType="begin"/>
      </w:r>
      <w:r w:rsidRPr="002965D8">
        <w:rPr>
          <w:lang w:val="es-ES"/>
        </w:rPr>
        <w:instrText xml:space="preserve"> TOC \o "1-3" \h \z \u </w:instrText>
      </w:r>
      <w:r>
        <w:fldChar w:fldCharType="separate"/>
      </w:r>
      <w:r w:rsidRPr="002965D8">
        <w:rPr>
          <w:lang w:val="es-ES"/>
        </w:rPr>
        <w:t>Actualiza este campo en Word para generar el índice.</w:t>
      </w:r>
      <w:r>
        <w:fldChar w:fldCharType="end"/>
      </w:r>
    </w:p>
    <w:p w14:paraId="3ABFBB1B" w14:textId="77777777" w:rsidR="00EE0FDC" w:rsidRPr="002965D8" w:rsidRDefault="00000000">
      <w:pPr>
        <w:rPr>
          <w:lang w:val="es-ES"/>
        </w:rPr>
      </w:pPr>
      <w:r w:rsidRPr="002965D8">
        <w:rPr>
          <w:lang w:val="es-ES"/>
        </w:rPr>
        <w:br w:type="page"/>
      </w:r>
    </w:p>
    <w:p w14:paraId="6879C669" w14:textId="77777777" w:rsidR="00AE0278" w:rsidRPr="009164D0" w:rsidRDefault="00000000">
      <w:pPr>
        <w:pStyle w:val="Ttulo1"/>
        <w:spacing w:before="400"/>
        <w:rPr>
          <w:lang w:val="es-ES"/>
        </w:rPr>
      </w:pPr>
      <w:r>
        <w:rPr>
          <w:lang w:val="es-ES"/>
        </w:rPr>
        <w:lastRenderedPageBreak/>
        <w:t>Registro de cambios respecto a la versión 1.0</w:t>
      </w:r>
    </w:p>
    <w:p w14:paraId="22BD8E8D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Esta versión incorpora las decisiones tomadas por el equipo tras revisar la propuesta inicial:</w:t>
      </w:r>
    </w:p>
    <w:p w14:paraId="5D1279FB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Se elimina la identificación de activos por código QR (antes parte de CU-06, y la dependencia D-03 del documento anterior): no aplica al alcance del proyecto.</w:t>
      </w:r>
    </w:p>
    <w:p w14:paraId="28DE8C52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Se eliminan los módulos de Auditoría y trazabilidad (CU-28), Respaldo (CU-29) y Configuración de parámetros generales (CU-30): quedan fuera del alcance de SICMA, ya que dependen de la política propia de cada administrador de datacenter.</w:t>
      </w:r>
    </w:p>
    <w:p w14:paraId="7CB9DC1C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Se confirma el rol "Auditor" como cuarto perfil de usuario del sistema (junto a Administrador, Jefatura y Técnico), con permisos de solo consulta.</w:t>
      </w:r>
    </w:p>
    <w:p w14:paraId="013E1277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Se confirma el módulo de Identidad y sesión (CU-01 a CU-03). Se implementará con Django REST Framework, autenticación por JWT (simplejwt), el rol incluido como claim del token, y recuperación de contraseña por correo (enlace de un solo uso, vencimiento de 30 minutos) vía SMTP, consumido por Angular (web) e Ionic (móvil).</w:t>
      </w:r>
    </w:p>
    <w:p w14:paraId="45570F1C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Se aclara la división de responsabilidades entre integraciones de notificación: Microsoft Forms + Power Automate se utiliza para el agendamiento de intervenciones; el servidor SMTP (CU-15) se utiliza para notificaciones de alertas de performance y demás casos no cubiertos por Power Automate.</w:t>
      </w:r>
    </w:p>
    <w:p w14:paraId="37EB81A3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Se detalla la infraestructura de base de datos: MySQL InnoDB Cluster compuesto por 3 nodos y 1 router (4 servidores en total).</w:t>
      </w:r>
    </w:p>
    <w:p w14:paraId="60D90EB3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Como resultado, el documento pasa de 30 a 27 casos de uso, de 8 a 7 vistas de módulo, y la trazabilidad de requisitos funcionales pasa de 67 a 61 (se retiran RF-ACT-07, RF-MOV-02 y RF-AUD-01 a RF-AUD-04; se conserva RF-AUD-05, vinculado a CU-19).</w:t>
      </w:r>
    </w:p>
    <w:p w14:paraId="0215C39F" w14:textId="77777777" w:rsidR="00AE0278" w:rsidRPr="009164D0" w:rsidRDefault="00AE0278">
      <w:pPr>
        <w:pBdr>
          <w:bottom w:val="single" w:sz="6" w:space="1" w:color="AAAAAA"/>
        </w:pBdr>
        <w:spacing w:after="200"/>
        <w:rPr>
          <w:lang w:val="es-ES"/>
        </w:rPr>
      </w:pPr>
    </w:p>
    <w:p w14:paraId="17FE4F08" w14:textId="77777777" w:rsidR="00AE0278" w:rsidRPr="009164D0" w:rsidRDefault="00000000">
      <w:pPr>
        <w:pStyle w:val="Ttulo1"/>
        <w:spacing w:before="400"/>
        <w:rPr>
          <w:lang w:val="es-ES"/>
        </w:rPr>
      </w:pPr>
      <w:r>
        <w:rPr>
          <w:lang w:val="es-ES"/>
        </w:rPr>
        <w:t>1. Propósito y alcance</w:t>
      </w:r>
    </w:p>
    <w:p w14:paraId="122A9617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Este documento describe cómo los usuarios y sistemas externos interactúan con SICMA. Cada caso especifica el objetivo, las condiciones de entrada, el recorrido principal, las excepciones y un resultado comprobable. Constituye la base para diseñar interfaces, actividades y pruebas.</w:t>
      </w:r>
    </w:p>
    <w:p w14:paraId="06CCB2F8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fuente es Documento_Requerimientos_SICMA_IEEE830.docx, versión 1.0. Se mantienen el contexto simulado, la web operativa, la aplicación móvil de consulta, la integración física del lector y los avisos internos y por correo.</w:t>
      </w:r>
    </w:p>
    <w:p w14:paraId="75FA99ED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Cómo leer los diagramas</w:t>
      </w:r>
    </w:p>
    <w:p w14:paraId="29EFFE07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Los óvalos representan casos de uso y el rectángulo delimita SICMA. Las figuras humanas y los elementos «actor» permanecen fuera del sistema. Una línea indica participación, no una secuencia temporal. Se utiliza notación de casos de uso UML como referencia (Object Management Group, 2017).</w:t>
      </w:r>
    </w:p>
    <w:p w14:paraId="76F11FCA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Los diagramas son vistas por módulo del mismo sistema. "Usuario autorizado" resume los cuatro roles para consultas comunes; sus permisos exactos aparecen en las fichas. Un temporizador y el motor de alertas son parte de SICMA, no actores externos.</w:t>
      </w:r>
    </w:p>
    <w:p w14:paraId="1B5D9301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aplicación móvil es un canal y comparte los casos de consulta con web. Las acciones de edición, aprobación y atención permanecen en web. La autenticación se trata como condición de entrada de los casos protegidos, sin dibujar un inicio de sesión repetido en cada módulo.</w:t>
      </w:r>
    </w:p>
    <w:p w14:paraId="6FDD4256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lastRenderedPageBreak/>
        <w:t>Nivel de compromiso</w:t>
      </w:r>
    </w:p>
    <w:p w14:paraId="1646C732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Se mantienen las prioridades de los RF originales. Las variantes Should y Could se identifican en las fichas; aparecer en un diagrama no las convierte en obligatorias.</w:t>
      </w:r>
    </w:p>
    <w:p w14:paraId="345476A6" w14:textId="77777777" w:rsidR="00AE0278" w:rsidRDefault="00000000">
      <w:pPr>
        <w:pStyle w:val="Ttulo1"/>
        <w:spacing w:before="400"/>
      </w:pPr>
      <w:r>
        <w:t>2. Actores y reglas comunes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8"/>
        <w:gridCol w:w="6334"/>
      </w:tblGrid>
      <w:tr w:rsidR="00AE0278" w14:paraId="4086BA95" w14:textId="77777777">
        <w:trPr>
          <w:tblHeader/>
        </w:trPr>
        <w:tc>
          <w:tcPr>
            <w:tcW w:w="2800" w:type="dxa"/>
            <w:shd w:val="clear" w:color="auto" w:fill="1F3864"/>
            <w:vAlign w:val="center"/>
          </w:tcPr>
          <w:p w14:paraId="27587B99" w14:textId="77777777" w:rsidR="00AE0278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550" w:type="dxa"/>
            <w:shd w:val="clear" w:color="auto" w:fill="1F3864"/>
            <w:vAlign w:val="center"/>
          </w:tcPr>
          <w:p w14:paraId="088A6664" w14:textId="77777777" w:rsidR="00AE0278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Participación</w:t>
            </w:r>
          </w:p>
        </w:tc>
      </w:tr>
      <w:tr w:rsidR="00AE0278" w:rsidRPr="002965D8" w14:paraId="681067E7" w14:textId="77777777">
        <w:tc>
          <w:tcPr>
            <w:tcW w:w="2800" w:type="dxa"/>
            <w:vAlign w:val="center"/>
          </w:tcPr>
          <w:p w14:paraId="0BB0BF13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6550" w:type="dxa"/>
            <w:vAlign w:val="center"/>
          </w:tcPr>
          <w:p w14:paraId="169EE052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Cuentas, configuración, activos, sensores, permisos físicos, integraciones y alertas.</w:t>
            </w:r>
          </w:p>
        </w:tc>
      </w:tr>
      <w:tr w:rsidR="00AE0278" w:rsidRPr="002965D8" w14:paraId="0ABCAABA" w14:textId="77777777">
        <w:tc>
          <w:tcPr>
            <w:tcW w:w="2800" w:type="dxa"/>
            <w:shd w:val="clear" w:color="auto" w:fill="F7F9FC"/>
            <w:vAlign w:val="center"/>
          </w:tcPr>
          <w:p w14:paraId="586EF90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Jefatura</w:t>
            </w:r>
          </w:p>
        </w:tc>
        <w:tc>
          <w:tcPr>
            <w:tcW w:w="6550" w:type="dxa"/>
            <w:shd w:val="clear" w:color="auto" w:fill="F7F9FC"/>
            <w:vAlign w:val="center"/>
          </w:tcPr>
          <w:p w14:paraId="3453B7BD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Consulta y decisión sobre intervenciones; autoriza excepciones de ventana.</w:t>
            </w:r>
          </w:p>
        </w:tc>
      </w:tr>
      <w:tr w:rsidR="00AE0278" w:rsidRPr="002965D8" w14:paraId="0B09F9D3" w14:textId="77777777">
        <w:tc>
          <w:tcPr>
            <w:tcW w:w="2800" w:type="dxa"/>
            <w:vAlign w:val="center"/>
          </w:tcPr>
          <w:p w14:paraId="02EE459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6550" w:type="dxa"/>
            <w:vAlign w:val="center"/>
          </w:tcPr>
          <w:p w14:paraId="09F159AD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Activos, solicitudes, ejecución de intervenciones y atención de alertas.</w:t>
            </w:r>
          </w:p>
        </w:tc>
      </w:tr>
      <w:tr w:rsidR="00AE0278" w:rsidRPr="002965D8" w14:paraId="62FBD998" w14:textId="77777777">
        <w:tc>
          <w:tcPr>
            <w:tcW w:w="2800" w:type="dxa"/>
            <w:shd w:val="clear" w:color="auto" w:fill="F7F9FC"/>
            <w:vAlign w:val="center"/>
          </w:tcPr>
          <w:p w14:paraId="18C1D21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Auditor</w:t>
            </w:r>
          </w:p>
        </w:tc>
        <w:tc>
          <w:tcPr>
            <w:tcW w:w="6550" w:type="dxa"/>
            <w:shd w:val="clear" w:color="auto" w:fill="F7F9FC"/>
            <w:vAlign w:val="center"/>
          </w:tcPr>
          <w:p w14:paraId="5EA45FCB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Consulta de activos, eventos, intervenciones e indicadores (solo lectura).</w:t>
            </w:r>
          </w:p>
        </w:tc>
      </w:tr>
      <w:tr w:rsidR="00AE0278" w:rsidRPr="002965D8" w14:paraId="421A748F" w14:textId="77777777">
        <w:tc>
          <w:tcPr>
            <w:tcW w:w="2800" w:type="dxa"/>
            <w:vAlign w:val="center"/>
          </w:tcPr>
          <w:p w14:paraId="72D776C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ESP32 / adaptador</w:t>
            </w:r>
          </w:p>
        </w:tc>
        <w:tc>
          <w:tcPr>
            <w:tcW w:w="6550" w:type="dxa"/>
            <w:vAlign w:val="center"/>
          </w:tcPr>
          <w:p w14:paraId="4EF5ADD4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Entrega mediciones; SICMA valida y conserva su origen.</w:t>
            </w:r>
          </w:p>
        </w:tc>
      </w:tr>
      <w:tr w:rsidR="00AE0278" w:rsidRPr="002965D8" w14:paraId="4AB7E1F5" w14:textId="77777777">
        <w:tc>
          <w:tcPr>
            <w:tcW w:w="2800" w:type="dxa"/>
            <w:shd w:val="clear" w:color="auto" w:fill="F7F9FC"/>
            <w:vAlign w:val="center"/>
          </w:tcPr>
          <w:p w14:paraId="0BF663E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Lector / adaptador</w:t>
            </w:r>
          </w:p>
        </w:tc>
        <w:tc>
          <w:tcPr>
            <w:tcW w:w="6550" w:type="dxa"/>
            <w:shd w:val="clear" w:color="auto" w:fill="F7F9FC"/>
            <w:vAlign w:val="center"/>
          </w:tcPr>
          <w:p w14:paraId="066423A3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Entrega coincidencia biométrica e identidad externa; SICMA evalúa permisos.</w:t>
            </w:r>
          </w:p>
        </w:tc>
      </w:tr>
      <w:tr w:rsidR="00AE0278" w:rsidRPr="002965D8" w14:paraId="4300A5D6" w14:textId="77777777">
        <w:tc>
          <w:tcPr>
            <w:tcW w:w="2800" w:type="dxa"/>
            <w:vAlign w:val="center"/>
          </w:tcPr>
          <w:p w14:paraId="0B64414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Zabbix</w:t>
            </w:r>
          </w:p>
        </w:tc>
        <w:tc>
          <w:tcPr>
            <w:tcW w:w="6550" w:type="dxa"/>
            <w:vAlign w:val="center"/>
          </w:tcPr>
          <w:p w14:paraId="20283EDF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Responde consultas de hosts, disponibilidad y problemas.</w:t>
            </w:r>
          </w:p>
        </w:tc>
      </w:tr>
      <w:tr w:rsidR="00AE0278" w:rsidRPr="002965D8" w14:paraId="5016BDB1" w14:textId="77777777">
        <w:tc>
          <w:tcPr>
            <w:tcW w:w="2800" w:type="dxa"/>
            <w:shd w:val="clear" w:color="auto" w:fill="F7F9FC"/>
            <w:vAlign w:val="center"/>
          </w:tcPr>
          <w:p w14:paraId="0AE6DEC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Power BI</w:t>
            </w:r>
          </w:p>
        </w:tc>
        <w:tc>
          <w:tcPr>
            <w:tcW w:w="6550" w:type="dxa"/>
            <w:shd w:val="clear" w:color="auto" w:fill="F7F9FC"/>
            <w:vAlign w:val="center"/>
          </w:tcPr>
          <w:p w14:paraId="55FC6E0D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Consume datos analíticos de solo lectura.</w:t>
            </w:r>
          </w:p>
        </w:tc>
      </w:tr>
      <w:tr w:rsidR="00AE0278" w:rsidRPr="002965D8" w14:paraId="74EF2B3B" w14:textId="77777777">
        <w:tc>
          <w:tcPr>
            <w:tcW w:w="2800" w:type="dxa"/>
            <w:vAlign w:val="center"/>
          </w:tcPr>
          <w:p w14:paraId="1378086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Servidor SMTP</w:t>
            </w:r>
          </w:p>
        </w:tc>
        <w:tc>
          <w:tcPr>
            <w:tcW w:w="6550" w:type="dxa"/>
            <w:vAlign w:val="center"/>
          </w:tcPr>
          <w:p w14:paraId="7EE6BD0A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Recibe solicitudes de envío de notificaciones (alertas/performance) y recuperación de contraseña.</w:t>
            </w:r>
          </w:p>
        </w:tc>
      </w:tr>
      <w:tr w:rsidR="00AE0278" w:rsidRPr="002965D8" w14:paraId="7EF58807" w14:textId="77777777">
        <w:tc>
          <w:tcPr>
            <w:tcW w:w="2800" w:type="dxa"/>
            <w:shd w:val="clear" w:color="auto" w:fill="F7F9FC"/>
            <w:vAlign w:val="center"/>
          </w:tcPr>
          <w:p w14:paraId="165A675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Microsoft Forms / Power Automate</w:t>
            </w:r>
          </w:p>
        </w:tc>
        <w:tc>
          <w:tcPr>
            <w:tcW w:w="6550" w:type="dxa"/>
            <w:shd w:val="clear" w:color="auto" w:fill="F7F9FC"/>
            <w:vAlign w:val="center"/>
          </w:tcPr>
          <w:p w14:paraId="253BB759" w14:textId="77777777" w:rsidR="00AE0278" w:rsidRPr="009164D0" w:rsidRDefault="00000000">
            <w:pPr>
              <w:spacing w:before="40" w:after="40" w:line="240" w:lineRule="auto"/>
              <w:jc w:val="left"/>
              <w:rPr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Canal de solicitud y automatización para el agendamiento de intervenciones.</w:t>
            </w:r>
          </w:p>
        </w:tc>
      </w:tr>
    </w:tbl>
    <w:p w14:paraId="2C706550" w14:textId="77777777" w:rsidR="00AE0278" w:rsidRPr="009164D0" w:rsidRDefault="00AE0278">
      <w:pPr>
        <w:spacing w:after="150"/>
        <w:rPr>
          <w:lang w:val="es-ES"/>
        </w:rPr>
      </w:pPr>
    </w:p>
    <w:p w14:paraId="6EEB6FC6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Reglas que se aplican a todas las fichas</w:t>
      </w:r>
    </w:p>
    <w:p w14:paraId="592BE43B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Toda operación protegida valida sesión y rol en servidor. Las escrituras conservan integridad; un error no debe mostrarse como éxito. Las consultas respetan permisos, paginación, UTC en persistencia y zona horaria en pantalla. Los mensajes técnicos no exponen secretos. Estas condiciones concretan RF-AUT-02 y los RNF de seguridad, integridad y observabilidad.</w:t>
      </w:r>
    </w:p>
    <w:p w14:paraId="03DF9B75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Eventos de acceso se consultan sin modificación, incluso por Administrador (ver decisión D-01).</w:t>
      </w:r>
    </w:p>
    <w:p w14:paraId="345B79D2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Infraestructura de base de datos</w:t>
      </w:r>
    </w:p>
    <w:p w14:paraId="345D4E79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base de datos MySQL corre sobre un InnoDB Cluster compuesto por 3 nodos y 1 router (4 servidores en total), lo que da soporte a alta disponibilidad para las operaciones de lectura y escritura del sistema.</w:t>
      </w:r>
    </w:p>
    <w:p w14:paraId="7A9841FC" w14:textId="77777777" w:rsidR="009164D0" w:rsidRDefault="009164D0">
      <w:pPr>
        <w:pStyle w:val="Ttulo1"/>
        <w:spacing w:before="400"/>
        <w:rPr>
          <w:lang w:val="es-ES"/>
        </w:rPr>
      </w:pPr>
    </w:p>
    <w:p w14:paraId="3E284C12" w14:textId="77777777" w:rsidR="009164D0" w:rsidRDefault="009164D0">
      <w:pPr>
        <w:pStyle w:val="Ttulo1"/>
        <w:spacing w:before="400"/>
        <w:rPr>
          <w:lang w:val="es-ES"/>
        </w:rPr>
      </w:pPr>
    </w:p>
    <w:p w14:paraId="2AFB1B31" w14:textId="77777777" w:rsidR="009164D0" w:rsidRDefault="009164D0">
      <w:pPr>
        <w:pStyle w:val="Ttulo1"/>
        <w:spacing w:before="400"/>
        <w:rPr>
          <w:lang w:val="es-ES"/>
        </w:rPr>
      </w:pPr>
    </w:p>
    <w:p w14:paraId="7E4EF9AB" w14:textId="77777777" w:rsidR="009164D0" w:rsidRDefault="00000000" w:rsidP="009164D0">
      <w:pPr>
        <w:pStyle w:val="Ttulo1"/>
        <w:spacing w:before="400"/>
        <w:rPr>
          <w:lang w:val="es-ES"/>
        </w:rPr>
      </w:pPr>
      <w:r>
        <w:rPr>
          <w:lang w:val="es-ES"/>
        </w:rPr>
        <w:t>3. Vistas de casos de uso por módulo</w:t>
      </w:r>
    </w:p>
    <w:p w14:paraId="36CD1147" w14:textId="77777777" w:rsidR="00AE0278" w:rsidRDefault="00000000">
      <w:pPr>
        <w:pStyle w:val="Ttulo2"/>
        <w:spacing w:before="300" w:after="150"/>
        <w:rPr>
          <w:lang w:val="es-ES"/>
        </w:rPr>
      </w:pPr>
      <w:r>
        <w:rPr>
          <w:lang w:val="es-ES"/>
        </w:rPr>
        <w:t>3.1. Identidad y configuración</w:t>
      </w:r>
    </w:p>
    <w:p w14:paraId="741CA9E1" w14:textId="77777777" w:rsidR="009164D0" w:rsidRPr="00132E37" w:rsidRDefault="00132E37" w:rsidP="009164D0">
      <w:pPr>
        <w:pStyle w:val="Ttulo2"/>
        <w:spacing w:before="300" w:after="150"/>
        <w:ind w:left="2160" w:hanging="2160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31623CEF" wp14:editId="0A06FF72">
            <wp:extent cx="5943600" cy="3864610"/>
            <wp:effectExtent l="0" t="0" r="0" b="2540"/>
            <wp:docPr id="1036486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6660" name="Imagen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1BD2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Figura 1. Vista de casos de uso de identidad y configuración. Elaboración del equipo SICMA.</w:t>
      </w:r>
    </w:p>
    <w:p w14:paraId="546DFD29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Usuario representa cualquiera de los cuatro roles para su propia sesión. Administrador concentra las operaciones de configuración de cuentas. El cambio de contraseña se realiza en web.</w:t>
      </w:r>
    </w:p>
    <w:p w14:paraId="1A95FEBD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Casos representados: </w:t>
      </w:r>
      <w:r>
        <w:rPr>
          <w:lang w:val="es-ES"/>
        </w:rPr>
        <w:t>CU-01: Acceder y gestionar la sesión; CU-02: Administrar cuentas y roles; CU-03: Recuperar contraseña.</w:t>
      </w:r>
    </w:p>
    <w:p w14:paraId="075A6145" w14:textId="77777777" w:rsidR="00AE0278" w:rsidRDefault="00000000">
      <w:pPr>
        <w:pStyle w:val="Ttulo2"/>
        <w:spacing w:before="300" w:after="150"/>
        <w:rPr>
          <w:lang w:val="es-ES"/>
        </w:rPr>
      </w:pPr>
      <w:r>
        <w:rPr>
          <w:lang w:val="es-ES"/>
        </w:rPr>
        <w:lastRenderedPageBreak/>
        <w:t>3.2. Activos y ubicaciones</w:t>
      </w:r>
    </w:p>
    <w:p w14:paraId="315247EB" w14:textId="77777777" w:rsidR="009164D0" w:rsidRPr="009164D0" w:rsidRDefault="009164D0">
      <w:pPr>
        <w:pStyle w:val="Ttulo2"/>
        <w:spacing w:before="300" w:after="150"/>
        <w:rPr>
          <w:lang w:val="es-ES"/>
        </w:rPr>
      </w:pPr>
      <w:r>
        <w:rPr>
          <w:noProof/>
        </w:rPr>
        <w:drawing>
          <wp:inline distT="0" distB="0" distL="0" distR="0" wp14:anchorId="58120F5E" wp14:editId="44B0D611">
            <wp:extent cx="5943600" cy="3863101"/>
            <wp:effectExtent l="0" t="0" r="0" b="4445"/>
            <wp:docPr id="2" name="Picture 2" descr="Diagrama de casos de uso: Activos y ubicaciones; CU-04, CU-05, CU-06, CU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D086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Figura 2. Vista de casos de uso de activos y ubicaciones. Elaboración del equipo SICMA.</w:t>
      </w:r>
    </w:p>
    <w:p w14:paraId="0D556978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consulta de activos está disponible en web y móvil mediante filtros de búsqueda (sin identificación por código QR). La edición, el retiro y la administración de ubicaciones se realizan en web. Adjuntar evidencia es una variante opcional de CU-06.</w:t>
      </w:r>
    </w:p>
    <w:p w14:paraId="20BBCA55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Casos representados: </w:t>
      </w:r>
      <w:r>
        <w:rPr>
          <w:lang w:val="es-ES"/>
        </w:rPr>
        <w:t>CU-04: Gestionar ubicaciones; CU-05: Registrar o actualizar un activo; CU-06: Consultar e identificar activos; CU-07: Retirar un activo.</w:t>
      </w:r>
    </w:p>
    <w:p w14:paraId="5F4DD906" w14:textId="77777777" w:rsidR="00AE0278" w:rsidRDefault="00000000">
      <w:pPr>
        <w:pStyle w:val="Ttulo2"/>
        <w:spacing w:before="300" w:after="150"/>
        <w:rPr>
          <w:lang w:val="es-ES"/>
        </w:rPr>
      </w:pPr>
      <w:r>
        <w:rPr>
          <w:lang w:val="es-ES"/>
        </w:rPr>
        <w:lastRenderedPageBreak/>
        <w:t>3.3. Monitoreo ambiental</w:t>
      </w:r>
    </w:p>
    <w:p w14:paraId="488B9338" w14:textId="77777777" w:rsidR="009164D0" w:rsidRPr="009164D0" w:rsidRDefault="009164D0">
      <w:pPr>
        <w:pStyle w:val="Ttulo2"/>
        <w:spacing w:before="300" w:after="150"/>
        <w:rPr>
          <w:lang w:val="es-ES"/>
        </w:rPr>
      </w:pPr>
      <w:r>
        <w:rPr>
          <w:noProof/>
        </w:rPr>
        <w:drawing>
          <wp:inline distT="0" distB="0" distL="0" distR="0" wp14:anchorId="729B6A26" wp14:editId="5C094935">
            <wp:extent cx="5943600" cy="3863101"/>
            <wp:effectExtent l="0" t="0" r="0" b="4445"/>
            <wp:docPr id="3" name="Picture 3" descr="Diagrama de casos de uso: Monitoreo ambiental; CU-08, CU-09, CU-10, CU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B598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Figura 3. Vista de casos de uso de monitoreo ambiental. Elaboración del equipo SICMA.</w:t>
      </w:r>
    </w:p>
    <w:p w14:paraId="4992516C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El ESP32 es un actor externo que entrega mediciones. La simulación conserva una marca de origen. El procesamiento interno de CU-09 evalúa umbrales y puede originar una alerta de CU-13.</w:t>
      </w:r>
    </w:p>
    <w:p w14:paraId="0D4A87D6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Casos representados: </w:t>
      </w:r>
      <w:r>
        <w:rPr>
          <w:lang w:val="es-ES"/>
        </w:rPr>
        <w:t>CU-08: Configurar sensores y umbrales; CU-09: Recibir y evaluar mediciones; CU-10: Consultar monitoreo e historial; CU-11: Generar mediciones simuladas.</w:t>
      </w:r>
    </w:p>
    <w:p w14:paraId="7F49C9EC" w14:textId="77777777" w:rsidR="00AE0278" w:rsidRDefault="00000000">
      <w:pPr>
        <w:pStyle w:val="Ttulo2"/>
        <w:spacing w:before="300" w:after="150"/>
        <w:rPr>
          <w:lang w:val="es-ES"/>
        </w:rPr>
      </w:pPr>
      <w:r>
        <w:rPr>
          <w:lang w:val="es-ES"/>
        </w:rPr>
        <w:lastRenderedPageBreak/>
        <w:t>3.4. Alertas y notificaciones</w:t>
      </w:r>
    </w:p>
    <w:p w14:paraId="4CD450E1" w14:textId="77777777" w:rsidR="009164D0" w:rsidRPr="009164D0" w:rsidRDefault="009164D0">
      <w:pPr>
        <w:pStyle w:val="Ttulo2"/>
        <w:spacing w:before="300" w:after="150"/>
        <w:rPr>
          <w:lang w:val="es-ES"/>
        </w:rPr>
      </w:pPr>
      <w:r>
        <w:rPr>
          <w:noProof/>
        </w:rPr>
        <w:drawing>
          <wp:inline distT="0" distB="0" distL="0" distR="0" wp14:anchorId="577ECA57" wp14:editId="365C6A1F">
            <wp:extent cx="5943600" cy="3863101"/>
            <wp:effectExtent l="0" t="0" r="0" b="4445"/>
            <wp:docPr id="4" name="Picture 4" descr="Diagrama de casos de uso: Alertas y notificaciones; CU-12, CU-13, CU-14, CU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A22E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Figura 4. Vista de casos de uso de alertas y notificaciones. Elaboración del equipo SICMA.</w:t>
      </w:r>
    </w:p>
    <w:p w14:paraId="266D7B68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Fuentes externas: ESP32, lector/adaptador y Zabbix. En CU-14 todos consultan; solo Administrador/Técnico reconocen y cierran desde web. CU-15 envía notificaciones por SMTP para alertas de performance y casos no cubiertos por Power Automate.</w:t>
      </w:r>
    </w:p>
    <w:p w14:paraId="5123FD34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Casos representados: </w:t>
      </w:r>
      <w:r>
        <w:rPr>
          <w:lang w:val="es-ES"/>
        </w:rPr>
        <w:t>CU-12: Configurar reglas de alertas; CU-13: Registrar alertas automáticas; CU-14: Consultar y atender alertas; CU-15: Enviar notificaciones por correo.</w:t>
      </w:r>
    </w:p>
    <w:p w14:paraId="6CB5851C" w14:textId="77777777" w:rsidR="00AE0278" w:rsidRDefault="00000000">
      <w:pPr>
        <w:pStyle w:val="Ttulo2"/>
        <w:spacing w:before="300" w:after="150"/>
        <w:rPr>
          <w:lang w:val="es-ES"/>
        </w:rPr>
      </w:pPr>
      <w:r>
        <w:rPr>
          <w:lang w:val="es-ES"/>
        </w:rPr>
        <w:lastRenderedPageBreak/>
        <w:t>3.5. Acceso físico y supervisión</w:t>
      </w:r>
    </w:p>
    <w:p w14:paraId="0AC07F7B" w14:textId="77777777" w:rsidR="009164D0" w:rsidRPr="009164D0" w:rsidRDefault="009164D0">
      <w:pPr>
        <w:pStyle w:val="Ttulo2"/>
        <w:spacing w:before="300" w:after="150"/>
        <w:rPr>
          <w:lang w:val="es-ES"/>
        </w:rPr>
      </w:pPr>
      <w:r>
        <w:rPr>
          <w:noProof/>
        </w:rPr>
        <w:drawing>
          <wp:inline distT="0" distB="0" distL="0" distR="0" wp14:anchorId="0147C9C5" wp14:editId="728FE821">
            <wp:extent cx="5943600" cy="3863101"/>
            <wp:effectExtent l="0" t="0" r="0" b="4445"/>
            <wp:docPr id="5" name="Picture 5" descr="Diagrama de casos de uso: Acceso físico y supervisión; CU-16, CU-17, CU-18, CU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5259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Figura 5. Vista de casos de uso de acceso físico y supervisión. Elaboración del equipo SICMA.</w:t>
      </w:r>
    </w:p>
    <w:p w14:paraId="664EF0CE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coincidencia de huella ocurre fuera de SICMA. SICMA evalúa permisos y registra decisiones lógicas; no abre cerraduras. CU-19 también supervisa sensores, Zabbix, SMTP y base de datos.</w:t>
      </w:r>
    </w:p>
    <w:p w14:paraId="7D78EBD2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Casos representados: </w:t>
      </w:r>
      <w:r>
        <w:rPr>
          <w:lang w:val="es-ES"/>
        </w:rPr>
        <w:t>CU-16: Administrar permisos físicos; CU-17: Evaluar un intento de acceso; CU-18: Consultar historial de accesos; CU-19: Consultar salud y detectar desconexión.</w:t>
      </w:r>
    </w:p>
    <w:p w14:paraId="22FBC117" w14:textId="77777777" w:rsidR="00AE0278" w:rsidRDefault="00000000">
      <w:pPr>
        <w:pStyle w:val="Ttulo2"/>
        <w:spacing w:before="300" w:after="150"/>
        <w:rPr>
          <w:lang w:val="es-ES"/>
        </w:rPr>
      </w:pPr>
      <w:r>
        <w:rPr>
          <w:lang w:val="es-ES"/>
        </w:rPr>
        <w:lastRenderedPageBreak/>
        <w:t>3.6. Intervenciones y ventanas</w:t>
      </w:r>
    </w:p>
    <w:p w14:paraId="2F2B551D" w14:textId="77777777" w:rsidR="009164D0" w:rsidRPr="009164D0" w:rsidRDefault="009164D0">
      <w:pPr>
        <w:pStyle w:val="Ttulo2"/>
        <w:spacing w:before="300" w:after="150"/>
        <w:rPr>
          <w:lang w:val="es-ES"/>
        </w:rPr>
      </w:pPr>
      <w:r>
        <w:rPr>
          <w:noProof/>
        </w:rPr>
        <w:drawing>
          <wp:inline distT="0" distB="0" distL="0" distR="0" wp14:anchorId="6D6DCD54" wp14:editId="63D72B93">
            <wp:extent cx="5943600" cy="3863101"/>
            <wp:effectExtent l="0" t="0" r="0" b="4445"/>
            <wp:docPr id="6" name="Picture 6" descr="Diagrama de casos de uso: Intervenciones y ventanas; CU-20, CU-21, CU-22, CU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177F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Figura 6. Vista de casos de uso de intervenciones y ventanas. Elaboración del equipo SICMA.</w:t>
      </w:r>
    </w:p>
    <w:p w14:paraId="702B346E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Jefatura participa en CU-22 únicamente para autorizar una excepción de ventana; no ejecuta el trabajo técnico. El agendamiento se apoya en Microsoft Forms + Power Automate.</w:t>
      </w:r>
    </w:p>
    <w:p w14:paraId="4487633C" w14:textId="77777777" w:rsidR="00AE0278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Casos representados: </w:t>
      </w:r>
      <w:r>
        <w:rPr>
          <w:lang w:val="es-ES"/>
        </w:rPr>
        <w:t>CU-20: Solicitar o cancelar intervención; CU-21: Resolver solicitud y autorizar ventana; CU-22: Ejecutar y finalizar intervención; CU-23: Consultar agenda de intervenciones.</w:t>
      </w:r>
    </w:p>
    <w:p w14:paraId="18F6D7A1" w14:textId="77777777" w:rsidR="009164D0" w:rsidRDefault="009164D0">
      <w:pPr>
        <w:spacing w:after="100"/>
        <w:rPr>
          <w:lang w:val="es-ES"/>
        </w:rPr>
      </w:pPr>
    </w:p>
    <w:p w14:paraId="50BB055E" w14:textId="77777777" w:rsidR="009164D0" w:rsidRDefault="009164D0">
      <w:pPr>
        <w:spacing w:after="100"/>
        <w:rPr>
          <w:lang w:val="es-ES"/>
        </w:rPr>
      </w:pPr>
    </w:p>
    <w:p w14:paraId="31C9C4BC" w14:textId="77777777" w:rsidR="009164D0" w:rsidRDefault="009164D0">
      <w:pPr>
        <w:spacing w:after="100"/>
        <w:rPr>
          <w:lang w:val="es-ES"/>
        </w:rPr>
      </w:pPr>
    </w:p>
    <w:p w14:paraId="248D351E" w14:textId="77777777" w:rsidR="009164D0" w:rsidRDefault="009164D0">
      <w:pPr>
        <w:spacing w:after="100"/>
        <w:rPr>
          <w:lang w:val="es-ES"/>
        </w:rPr>
      </w:pPr>
    </w:p>
    <w:p w14:paraId="583B8B0D" w14:textId="77777777" w:rsidR="009164D0" w:rsidRDefault="009164D0">
      <w:pPr>
        <w:spacing w:after="100"/>
        <w:rPr>
          <w:lang w:val="es-ES"/>
        </w:rPr>
      </w:pPr>
    </w:p>
    <w:p w14:paraId="7F5252AD" w14:textId="77777777" w:rsidR="009164D0" w:rsidRDefault="009164D0">
      <w:pPr>
        <w:spacing w:after="100"/>
        <w:rPr>
          <w:lang w:val="es-ES"/>
        </w:rPr>
      </w:pPr>
    </w:p>
    <w:p w14:paraId="143AB8B4" w14:textId="77777777" w:rsidR="009164D0" w:rsidRDefault="009164D0">
      <w:pPr>
        <w:spacing w:after="100"/>
        <w:rPr>
          <w:lang w:val="es-ES"/>
        </w:rPr>
      </w:pPr>
    </w:p>
    <w:p w14:paraId="2BCC7CA0" w14:textId="77777777" w:rsidR="009164D0" w:rsidRDefault="009164D0">
      <w:pPr>
        <w:spacing w:after="100"/>
        <w:rPr>
          <w:lang w:val="es-ES"/>
        </w:rPr>
      </w:pPr>
    </w:p>
    <w:p w14:paraId="5ED5D88B" w14:textId="77777777" w:rsidR="009164D0" w:rsidRDefault="009164D0">
      <w:pPr>
        <w:spacing w:after="100"/>
        <w:rPr>
          <w:lang w:val="es-ES"/>
        </w:rPr>
      </w:pPr>
    </w:p>
    <w:p w14:paraId="4CE14535" w14:textId="77777777" w:rsidR="009164D0" w:rsidRDefault="009164D0">
      <w:pPr>
        <w:spacing w:after="100"/>
        <w:rPr>
          <w:lang w:val="es-ES"/>
        </w:rPr>
      </w:pPr>
    </w:p>
    <w:p w14:paraId="7928CDA1" w14:textId="77777777" w:rsidR="009164D0" w:rsidRPr="009164D0" w:rsidRDefault="009164D0">
      <w:pPr>
        <w:spacing w:after="100"/>
        <w:rPr>
          <w:lang w:val="es-ES"/>
        </w:rPr>
      </w:pPr>
    </w:p>
    <w:p w14:paraId="2D658F5A" w14:textId="77777777" w:rsidR="00AE0278" w:rsidRDefault="00000000">
      <w:pPr>
        <w:pStyle w:val="Ttulo2"/>
        <w:spacing w:before="300" w:after="150"/>
        <w:rPr>
          <w:lang w:val="es-ES"/>
        </w:rPr>
      </w:pPr>
      <w:r>
        <w:rPr>
          <w:lang w:val="es-ES"/>
        </w:rPr>
        <w:lastRenderedPageBreak/>
        <w:t>3.7. Infraestructura e indicadores</w:t>
      </w:r>
    </w:p>
    <w:p w14:paraId="2C393EE5" w14:textId="77777777" w:rsidR="009164D0" w:rsidRPr="009164D0" w:rsidRDefault="009164D0">
      <w:pPr>
        <w:pStyle w:val="Ttulo2"/>
        <w:spacing w:before="300" w:after="150"/>
        <w:rPr>
          <w:lang w:val="es-ES"/>
        </w:rPr>
      </w:pPr>
      <w:r>
        <w:rPr>
          <w:noProof/>
        </w:rPr>
        <w:drawing>
          <wp:inline distT="0" distB="0" distL="0" distR="0" wp14:anchorId="3DBCBFAA" wp14:editId="2EA6E7F1">
            <wp:extent cx="5943600" cy="3863101"/>
            <wp:effectExtent l="0" t="0" r="0" b="4445"/>
            <wp:docPr id="7" name="Picture 7" descr="Diagrama de casos de uso: Infraestructura e indicadores; CU-24, CU-25, CU-26, CU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B0CF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Figura 7. Vista de casos de uso de infraestructura e indicadores. Elaboración del equipo SICMA.</w:t>
      </w:r>
    </w:p>
    <w:p w14:paraId="3941B1F8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sincronización la inicia un temporizador interno; Zabbix responde como sistema externo. Power BI obtiene datos con permisos de lectura. No se representa MySQL como usuario del producto.</w:t>
      </w:r>
    </w:p>
    <w:p w14:paraId="2855367C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Casos representados: </w:t>
      </w:r>
      <w:r>
        <w:rPr>
          <w:lang w:val="es-ES"/>
        </w:rPr>
        <w:t>CU-24: Configurar integración Zabbix; CU-25: Sincronizar estado de infraestructura; CU-26: Consultar indicadores y exportar; CU-27: Proveer datos a Power BI.</w:t>
      </w:r>
    </w:p>
    <w:p w14:paraId="68180025" w14:textId="77777777" w:rsidR="00AE0278" w:rsidRPr="009164D0" w:rsidRDefault="00000000">
      <w:pPr>
        <w:pStyle w:val="Ttulo1"/>
        <w:spacing w:before="400"/>
        <w:rPr>
          <w:lang w:val="es-ES"/>
        </w:rPr>
      </w:pPr>
      <w:r>
        <w:rPr>
          <w:lang w:val="es-ES"/>
        </w:rPr>
        <w:t>4. Fichas de casos de uso (módulos con cambios)</w:t>
      </w:r>
    </w:p>
    <w:p w14:paraId="7BCA881E" w14:textId="77777777" w:rsidR="00AE0278" w:rsidRPr="009164D0" w:rsidRDefault="00000000">
      <w:pPr>
        <w:spacing w:after="150"/>
        <w:rPr>
          <w:lang w:val="es-ES"/>
        </w:rPr>
      </w:pPr>
      <w:r>
        <w:rPr>
          <w:i/>
          <w:iCs/>
          <w:color w:val="595959"/>
          <w:lang w:val="es-ES"/>
        </w:rPr>
        <w:t>Las fichas no listadas a continuación (CU-04, CU-05, CU-07 a CU-27) se mantienen sin cambios respecto a la versión 1.0.</w:t>
      </w:r>
    </w:p>
    <w:p w14:paraId="23D4F0B2" w14:textId="77777777" w:rsidR="00AE0278" w:rsidRPr="009164D0" w:rsidRDefault="00000000">
      <w:pPr>
        <w:spacing w:before="300"/>
        <w:rPr>
          <w:lang w:val="es-ES"/>
        </w:rPr>
      </w:pPr>
      <w:r>
        <w:rPr>
          <w:b/>
          <w:bCs/>
          <w:color w:val="1F3864"/>
          <w:sz w:val="24"/>
          <w:szCs w:val="24"/>
          <w:lang w:val="es-ES"/>
        </w:rPr>
        <w:t>CU-01 · Acceder y gestionar la sesión</w:t>
      </w:r>
    </w:p>
    <w:p w14:paraId="3B2291A4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Actores y canal: </w:t>
      </w:r>
      <w:r>
        <w:rPr>
          <w:lang w:val="es-ES"/>
        </w:rPr>
        <w:t>Administrador, Jefatura, Técnico o Auditor. Web y móvil; cambio de contraseña en web.</w:t>
      </w:r>
    </w:p>
    <w:p w14:paraId="383A042A" w14:textId="77777777" w:rsidR="00AE0278" w:rsidRDefault="00000000">
      <w:pPr>
        <w:spacing w:after="100"/>
      </w:pPr>
      <w:r>
        <w:rPr>
          <w:b/>
          <w:bCs/>
        </w:rPr>
        <w:t xml:space="preserve">Requisitos: </w:t>
      </w:r>
      <w:r>
        <w:t>RF-AUT-01, RF-AUT-06, RF-AUT-07, RF-MOV-01</w:t>
      </w:r>
    </w:p>
    <w:p w14:paraId="24BE92F4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Entrada: </w:t>
      </w:r>
      <w:r>
        <w:rPr>
          <w:lang w:val="es-ES"/>
        </w:rPr>
        <w:t>Cuenta registrada. Disparador: el usuario solicita iniciar sesión.</w:t>
      </w:r>
    </w:p>
    <w:p w14:paraId="3E18705C" w14:textId="77777777" w:rsidR="00AE0278" w:rsidRDefault="00000000">
      <w:pPr>
        <w:spacing w:after="60"/>
      </w:pPr>
      <w:r>
        <w:rPr>
          <w:b/>
          <w:bCs/>
        </w:rPr>
        <w:t>Flujo principal:</w:t>
      </w:r>
    </w:p>
    <w:p w14:paraId="4A9B4B78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Introduce correo y contraseña; SICMA verifica credenciales, estado y bloqueo.</w:t>
      </w:r>
    </w:p>
    <w:p w14:paraId="42AB1076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SICMA emite un JWT (access + refresh) que codifica el rol del usuario y habilita las consultas y acciones correspondientes.</w:t>
      </w:r>
    </w:p>
    <w:p w14:paraId="37A35EDA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El usuario cierra sesión o el token expira; SICMA invalida el acceso de esa sesión.</w:t>
      </w:r>
    </w:p>
    <w:p w14:paraId="117A9ED3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lastRenderedPageBreak/>
        <w:t xml:space="preserve">Alternativas y errores: </w:t>
      </w:r>
      <w:r>
        <w:rPr>
          <w:lang w:val="es-ES"/>
        </w:rPr>
        <w:t>Credenciales inválidas: rechazo genérico y conteo de intentos. Inactividad: expira a los 15 minutos (vida corta del access token, con refresh controlado). Cambio de contraseña en web: exige contraseña actual y valida la nueva.</w:t>
      </w:r>
    </w:p>
    <w:p w14:paraId="282BBF06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Resultado: </w:t>
      </w:r>
      <w:r>
        <w:rPr>
          <w:lang w:val="es-ES"/>
        </w:rPr>
        <w:t>Sesión iniciada o terminada según la acción; intento y resultado auditados a nivel de aplicación.</w:t>
      </w:r>
    </w:p>
    <w:p w14:paraId="314C0FC3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Aceptación: </w:t>
      </w:r>
      <w:r>
        <w:rPr>
          <w:lang w:val="es-ES"/>
        </w:rPr>
        <w:t>Credenciales válidas permiten entrar; tras salir o expirar, un recurso protegido exige autenticación.</w:t>
      </w:r>
    </w:p>
    <w:p w14:paraId="4E0589B9" w14:textId="77777777" w:rsidR="00AE0278" w:rsidRPr="009164D0" w:rsidRDefault="00000000">
      <w:pPr>
        <w:spacing w:before="300"/>
        <w:rPr>
          <w:lang w:val="es-ES"/>
        </w:rPr>
      </w:pPr>
      <w:r>
        <w:rPr>
          <w:b/>
          <w:bCs/>
          <w:color w:val="1F3864"/>
          <w:sz w:val="24"/>
          <w:szCs w:val="24"/>
          <w:lang w:val="es-ES"/>
        </w:rPr>
        <w:t>CU-02 · Administrar cuentas y roles</w:t>
      </w:r>
    </w:p>
    <w:p w14:paraId="45816EE6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Actores y canal: </w:t>
      </w:r>
      <w:r>
        <w:rPr>
          <w:lang w:val="es-ES"/>
        </w:rPr>
        <w:t>Administrador. Web.</w:t>
      </w:r>
    </w:p>
    <w:p w14:paraId="11884E97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Requisitos: </w:t>
      </w:r>
      <w:r>
        <w:rPr>
          <w:lang w:val="es-ES"/>
        </w:rPr>
        <w:t>RF-AUT-02, RF-AUT-03, RF-AUT-04</w:t>
      </w:r>
    </w:p>
    <w:p w14:paraId="353BB2F3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Entrada: </w:t>
      </w:r>
      <w:r>
        <w:rPr>
          <w:lang w:val="es-ES"/>
        </w:rPr>
        <w:t>Sesión de Administrador. Disparador: solicita crear o modificar una cuenta.</w:t>
      </w:r>
    </w:p>
    <w:p w14:paraId="4E4CE1AD" w14:textId="77777777" w:rsidR="00AE0278" w:rsidRDefault="00000000">
      <w:pPr>
        <w:spacing w:after="60"/>
      </w:pPr>
      <w:r>
        <w:rPr>
          <w:b/>
          <w:bCs/>
        </w:rPr>
        <w:t>Flujo principal:</w:t>
      </w:r>
    </w:p>
    <w:p w14:paraId="767A9C09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Selecciona alta o una cuenta existente e ingresa identidad, correo, estado y un rol (Administrador, Jefatura, Técnico o Auditor).</w:t>
      </w:r>
    </w:p>
    <w:p w14:paraId="58C0FE94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SICMA valida campos y unicidad del correo.</w:t>
      </w:r>
    </w:p>
    <w:p w14:paraId="7EF35099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Guarda la cuenta y registra la modificación; la interfaz confirma el resultado.</w:t>
      </w:r>
    </w:p>
    <w:p w14:paraId="5767FFCE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Alternativas y errores: </w:t>
      </w:r>
      <w:r>
        <w:rPr>
          <w:lang w:val="es-ES"/>
        </w:rPr>
        <w:t>Correo duplicado o rol inválido: no guarda. Desactivación: impide nuevos inicios. Cambio de rol: al codificarse como claim del JWT, se aplica en el siguiente inicio de sesión (el token vigente conserva el rol anterior hasta su renovación).</w:t>
      </w:r>
    </w:p>
    <w:p w14:paraId="4BCD7659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Resultado: </w:t>
      </w:r>
      <w:r>
        <w:rPr>
          <w:lang w:val="es-ES"/>
        </w:rPr>
        <w:t>Cuenta actualizada; permanece trazabilidad del cambio.</w:t>
      </w:r>
    </w:p>
    <w:p w14:paraId="24421F7B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Aceptación: </w:t>
      </w:r>
      <w:r>
        <w:rPr>
          <w:lang w:val="es-ES"/>
        </w:rPr>
        <w:t>Solo Administrador modifica cuentas; el resto de roles recibe denegación si intentan escribir por API.</w:t>
      </w:r>
    </w:p>
    <w:p w14:paraId="17BE81C9" w14:textId="77777777" w:rsidR="00AE0278" w:rsidRPr="009164D0" w:rsidRDefault="00000000">
      <w:pPr>
        <w:spacing w:before="300"/>
        <w:rPr>
          <w:lang w:val="es-ES"/>
        </w:rPr>
      </w:pPr>
      <w:r>
        <w:rPr>
          <w:b/>
          <w:bCs/>
          <w:color w:val="1F3864"/>
          <w:sz w:val="24"/>
          <w:szCs w:val="24"/>
          <w:lang w:val="es-ES"/>
        </w:rPr>
        <w:t>CU-03 · Recuperar contraseña</w:t>
      </w:r>
    </w:p>
    <w:p w14:paraId="0285B62B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Actores y canal: </w:t>
      </w:r>
      <w:r>
        <w:rPr>
          <w:lang w:val="es-ES"/>
        </w:rPr>
        <w:t>Usuario con cuenta; servidor SMTP. Web.</w:t>
      </w:r>
    </w:p>
    <w:p w14:paraId="5EAA414C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Requisitos: </w:t>
      </w:r>
      <w:r>
        <w:rPr>
          <w:lang w:val="es-ES"/>
        </w:rPr>
        <w:t>RF-AUT-05</w:t>
      </w:r>
    </w:p>
    <w:p w14:paraId="4497EADC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Entrada: </w:t>
      </w:r>
      <w:r>
        <w:rPr>
          <w:lang w:val="es-ES"/>
        </w:rPr>
        <w:t>SMTP configurado. Disparador: el usuario selecciona recuperar contraseña.</w:t>
      </w:r>
    </w:p>
    <w:p w14:paraId="1319DA22" w14:textId="77777777" w:rsidR="00AE0278" w:rsidRDefault="00000000">
      <w:pPr>
        <w:spacing w:after="60"/>
      </w:pPr>
      <w:r>
        <w:rPr>
          <w:b/>
          <w:bCs/>
        </w:rPr>
        <w:t>Flujo principal:</w:t>
      </w:r>
    </w:p>
    <w:p w14:paraId="61D20684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Ingresa correo; SICMA responde sin revelar si la cuenta existe.</w:t>
      </w:r>
    </w:p>
    <w:p w14:paraId="5150F0AF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Para una cuenta válida, genera un enlace de un solo uso, con vencimiento de 30 minutos, y solicita su envío por SMTP.</w:t>
      </w:r>
    </w:p>
    <w:p w14:paraId="292E57A5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El usuario abre el enlace y define una contraseña válida; SICMA guarda el cambio e invalida el enlace.</w:t>
      </w:r>
    </w:p>
    <w:p w14:paraId="71E52842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Alternativas y errores: </w:t>
      </w:r>
      <w:r>
        <w:rPr>
          <w:lang w:val="es-ES"/>
        </w:rPr>
        <w:t>Enlace vencido, reutilizado o alterado: rechazo sin modificar contraseña. Fallo SMTP: registra error, conserva contraseña y permite una nueva solicitud.</w:t>
      </w:r>
    </w:p>
    <w:p w14:paraId="7F466B93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Resultado: </w:t>
      </w:r>
      <w:r>
        <w:rPr>
          <w:lang w:val="es-ES"/>
        </w:rPr>
        <w:t>Contraseña cambiada únicamente tras validar el enlace.</w:t>
      </w:r>
    </w:p>
    <w:p w14:paraId="4B99F37E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Aceptación: </w:t>
      </w:r>
      <w:r>
        <w:rPr>
          <w:lang w:val="es-ES"/>
        </w:rPr>
        <w:t>El enlace funciona una vez y se rechaza después de su uso o vencimiento.</w:t>
      </w:r>
    </w:p>
    <w:p w14:paraId="6C1F03CF" w14:textId="77777777" w:rsidR="00AE0278" w:rsidRPr="009164D0" w:rsidRDefault="00000000">
      <w:pPr>
        <w:spacing w:before="300"/>
        <w:rPr>
          <w:lang w:val="es-ES"/>
        </w:rPr>
      </w:pPr>
      <w:r>
        <w:rPr>
          <w:b/>
          <w:bCs/>
          <w:color w:val="1F3864"/>
          <w:sz w:val="24"/>
          <w:szCs w:val="24"/>
          <w:lang w:val="es-ES"/>
        </w:rPr>
        <w:t>CU-06 · Consultar e identificar activos</w:t>
      </w:r>
    </w:p>
    <w:p w14:paraId="7CE210A2" w14:textId="77777777" w:rsidR="00AE0278" w:rsidRDefault="00000000">
      <w:pPr>
        <w:spacing w:after="100"/>
      </w:pPr>
      <w:r>
        <w:rPr>
          <w:b/>
          <w:bCs/>
          <w:lang w:val="es-ES"/>
        </w:rPr>
        <w:t xml:space="preserve">Actores y canal: </w:t>
      </w:r>
      <w:r>
        <w:rPr>
          <w:lang w:val="es-ES"/>
        </w:rPr>
        <w:t xml:space="preserve">Administrador, Jefatura, Técnico o Auditor. </w:t>
      </w:r>
      <w:r>
        <w:t>Web y móvil.</w:t>
      </w:r>
    </w:p>
    <w:p w14:paraId="07A5218C" w14:textId="77777777" w:rsidR="00AE0278" w:rsidRDefault="00000000">
      <w:pPr>
        <w:spacing w:after="100"/>
      </w:pPr>
      <w:r>
        <w:rPr>
          <w:b/>
          <w:bCs/>
        </w:rPr>
        <w:lastRenderedPageBreak/>
        <w:t xml:space="preserve">Requisitos: </w:t>
      </w:r>
      <w:r>
        <w:t>RF-ACT-02, RF-ACT-03, RF-ACT-07</w:t>
      </w:r>
    </w:p>
    <w:p w14:paraId="6504B3BA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Entrada: </w:t>
      </w:r>
      <w:r>
        <w:rPr>
          <w:lang w:val="es-ES"/>
        </w:rPr>
        <w:t>Sesión válida.</w:t>
      </w:r>
    </w:p>
    <w:p w14:paraId="006FC56F" w14:textId="77777777" w:rsidR="00AE0278" w:rsidRPr="009164D0" w:rsidRDefault="00000000">
      <w:pPr>
        <w:spacing w:after="60"/>
        <w:rPr>
          <w:lang w:val="es-ES"/>
        </w:rPr>
      </w:pPr>
      <w:r>
        <w:rPr>
          <w:b/>
          <w:bCs/>
          <w:lang w:val="es-ES"/>
        </w:rPr>
        <w:t>Flujo principal:</w:t>
      </w:r>
    </w:p>
    <w:p w14:paraId="5AF5E526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Aplica filtros combinables (código, nombre, tipo, estado, ubicación); SICMA presenta resultados paginados.</w:t>
      </w:r>
    </w:p>
    <w:p w14:paraId="2664DAFE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Abre una ficha con datos, ubicación, estado e intervenciones.</w:t>
      </w:r>
    </w:p>
    <w:p w14:paraId="06320EB4" w14:textId="77777777" w:rsidR="00AE0278" w:rsidRPr="009164D0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>
        <w:rPr>
          <w:lang w:val="es-ES"/>
        </w:rPr>
        <w:t>Consulta alertas y monitoreo asociados; si hay adjuntos, los abre según permiso.</w:t>
      </w:r>
    </w:p>
    <w:p w14:paraId="496ACD5B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Alternativas y errores: </w:t>
      </w:r>
      <w:r>
        <w:rPr>
          <w:lang w:val="es-ES"/>
        </w:rPr>
        <w:t>Sin resultados: lista vacía. Adjuntos (Could): solo Administrador/Técnico cargan PDF, PNG o JPG desde web; formato o tamaño inválido se rechaza.</w:t>
      </w:r>
    </w:p>
    <w:p w14:paraId="2154FE38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Resultado: </w:t>
      </w:r>
      <w:r>
        <w:rPr>
          <w:lang w:val="es-ES"/>
        </w:rPr>
        <w:t>Consulta sin alterar datos; móvil siempre de lectura.</w:t>
      </w:r>
    </w:p>
    <w:p w14:paraId="54A95BDF" w14:textId="77777777" w:rsidR="00AE0278" w:rsidRPr="009164D0" w:rsidRDefault="00000000">
      <w:pPr>
        <w:spacing w:after="100"/>
        <w:rPr>
          <w:lang w:val="es-ES"/>
        </w:rPr>
      </w:pPr>
      <w:r>
        <w:rPr>
          <w:b/>
          <w:bCs/>
          <w:lang w:val="es-ES"/>
        </w:rPr>
        <w:t xml:space="preserve">Aceptación: </w:t>
      </w:r>
      <w:r>
        <w:rPr>
          <w:lang w:val="es-ES"/>
        </w:rPr>
        <w:t>La ficha corresponde al identificador buscado. No se contempla identificación por código QR.</w:t>
      </w:r>
    </w:p>
    <w:p w14:paraId="00365654" w14:textId="77777777" w:rsidR="00AE0278" w:rsidRPr="009164D0" w:rsidRDefault="00000000">
      <w:pPr>
        <w:pStyle w:val="Ttulo1"/>
        <w:spacing w:before="400"/>
        <w:rPr>
          <w:lang w:val="es-ES"/>
        </w:rPr>
      </w:pPr>
      <w:r>
        <w:rPr>
          <w:lang w:val="es-ES"/>
        </w:rPr>
        <w:t>5. Coherencia y decisiones de diseño</w:t>
      </w:r>
    </w:p>
    <w:p w14:paraId="3F9A7F9A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Los siguientes puntos evitan trasladar ambigüedades de los requisitos a los diagramas. Las dos primeras resoluciones siguen requisitos explícitos; los demás detalles requieren acordarse antes de implementar las funciones afectadas.</w:t>
      </w:r>
    </w:p>
    <w:p w14:paraId="251DFB6F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D-01 · Eventos inalterables</w:t>
      </w:r>
    </w:p>
    <w:p w14:paraId="0A4393F0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matriz anterior asigna C/E al Administrador sobre eventos de acceso, pero RF-BIO-04 prohíbe editarlos. CU-18 permite únicamente consulta; debe corregirse esa celda a C.</w:t>
      </w:r>
    </w:p>
    <w:p w14:paraId="5D8F2405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D-02 · Consulta de auditoría de accesos</w:t>
      </w:r>
    </w:p>
    <w:p w14:paraId="5765B8BE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Los eventos de acceso (CU-18) se mantienen como consulta restringida a los roles habilitados; no se implementa un módulo de auditoría general (ver registro de cambios).</w:t>
      </w:r>
    </w:p>
    <w:p w14:paraId="746D448F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D-04 · Ciclo de alerta</w:t>
      </w:r>
    </w:p>
    <w:p w14:paraId="1EEC259A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Propuesta: Nueva y Reconocida se consideran abiertas; Cerrada es terminal. La recuperación del origen no equivale a cierre humano. Antes de cerrar una condición persistente, debe definirse si se exige recuperación para evitar una nueva alerta inmediata.</w:t>
      </w:r>
    </w:p>
    <w:p w14:paraId="646B3DF7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D-05 · Contratos técnicos y parámetros</w:t>
      </w:r>
    </w:p>
    <w:p w14:paraId="01350F57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Antes de programar la integración se deben fijar campos reales del lector, señal de salud, rangos válidos del sensor, intervalos, reiteración de denegaciones, límites de adjuntos y reintentos de correo/ingesta.</w:t>
      </w:r>
    </w:p>
    <w:p w14:paraId="6B9A3194" w14:textId="77777777" w:rsidR="00AE0278" w:rsidRPr="009164D0" w:rsidRDefault="00000000">
      <w:pPr>
        <w:pStyle w:val="Ttulo3"/>
        <w:spacing w:before="250" w:after="100"/>
        <w:rPr>
          <w:lang w:val="es-ES"/>
        </w:rPr>
      </w:pPr>
      <w:r>
        <w:rPr>
          <w:lang w:val="es-ES"/>
        </w:rPr>
        <w:t>D-06 · Reglas operativas propuestas</w:t>
      </w:r>
    </w:p>
    <w:p w14:paraId="156CE4B8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Se propone que Técnico ejecute sus intervenciones, que Jefatura pueda cancelar una aprobada y que no se retire un activo con trabajo aprobado/en curso. También deben precisarse campos obligatorios del activo, edición simultánea y exclusividad por posición/ubicación.</w:t>
      </w:r>
    </w:p>
    <w:p w14:paraId="0D8F1FB8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 relación entre acceso físico y activo debe ser indirecta mediante ubicación/intervención, salvo que se acuerde un enlace explícito.</w:t>
      </w:r>
    </w:p>
    <w:p w14:paraId="46C08426" w14:textId="77777777" w:rsidR="00AE0278" w:rsidRPr="009164D0" w:rsidRDefault="00000000">
      <w:pPr>
        <w:pStyle w:val="Ttulo1"/>
        <w:spacing w:before="400"/>
        <w:rPr>
          <w:lang w:val="es-ES"/>
        </w:rPr>
      </w:pPr>
      <w:r>
        <w:rPr>
          <w:lang w:val="es-ES"/>
        </w:rPr>
        <w:lastRenderedPageBreak/>
        <w:t>6. Matriz RF → casos de uso</w:t>
      </w:r>
    </w:p>
    <w:p w14:paraId="629A8962" w14:textId="77777777" w:rsidR="00AE0278" w:rsidRDefault="00000000">
      <w:pPr>
        <w:spacing w:after="150"/>
      </w:pPr>
      <w:r>
        <w:rPr>
          <w:lang w:val="es-ES"/>
        </w:rPr>
        <w:t xml:space="preserve">Cada requisito conserva su prioridad original. Un caso puede cubrir varias operaciones del mismo objetivo. Se retiran de esta matriz los requisitos vinculados a funciones fuera de alcance (QR: RF-ACT-07, RF-MOV-02; auditoría/respaldo/parámetros: RF-AUD-01 a RF-AUD-04). </w:t>
      </w:r>
      <w:r>
        <w:t>RF-AUD-05 se conserva por estar vinculado a CU-19.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3007"/>
        <w:gridCol w:w="2049"/>
        <w:gridCol w:w="4006"/>
      </w:tblGrid>
      <w:tr w:rsidR="00AE0278" w14:paraId="669F455F" w14:textId="77777777">
        <w:trPr>
          <w:tblHeader/>
        </w:trPr>
        <w:tc>
          <w:tcPr>
            <w:tcW w:w="3100" w:type="dxa"/>
            <w:shd w:val="clear" w:color="auto" w:fill="1F3864"/>
            <w:vAlign w:val="center"/>
          </w:tcPr>
          <w:p w14:paraId="5D955DCD" w14:textId="77777777" w:rsidR="00AE0278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463C5C36" w14:textId="77777777" w:rsidR="00AE0278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4150" w:type="dxa"/>
            <w:shd w:val="clear" w:color="auto" w:fill="1F3864"/>
            <w:vAlign w:val="center"/>
          </w:tcPr>
          <w:p w14:paraId="14AA5C2F" w14:textId="77777777" w:rsidR="00AE0278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Caso(s)</w:t>
            </w:r>
          </w:p>
        </w:tc>
      </w:tr>
      <w:tr w:rsidR="00AE0278" w14:paraId="0771F4EA" w14:textId="77777777">
        <w:tc>
          <w:tcPr>
            <w:tcW w:w="3100" w:type="dxa"/>
            <w:vAlign w:val="center"/>
          </w:tcPr>
          <w:p w14:paraId="0735469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RF-AUT-01</w:t>
            </w:r>
          </w:p>
        </w:tc>
        <w:tc>
          <w:tcPr>
            <w:tcW w:w="2100" w:type="dxa"/>
            <w:vAlign w:val="center"/>
          </w:tcPr>
          <w:p w14:paraId="21E2237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7B7660F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CU-01</w:t>
            </w:r>
          </w:p>
        </w:tc>
      </w:tr>
      <w:tr w:rsidR="00AE0278" w14:paraId="37462AED" w14:textId="77777777">
        <w:tc>
          <w:tcPr>
            <w:tcW w:w="3100" w:type="dxa"/>
            <w:shd w:val="clear" w:color="auto" w:fill="F7F9FC"/>
            <w:vAlign w:val="center"/>
          </w:tcPr>
          <w:p w14:paraId="39CD761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RF-AUT-02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1A39572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24D26A5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CU-02</w:t>
            </w:r>
          </w:p>
        </w:tc>
      </w:tr>
      <w:tr w:rsidR="00AE0278" w14:paraId="722CF394" w14:textId="77777777">
        <w:tc>
          <w:tcPr>
            <w:tcW w:w="3100" w:type="dxa"/>
            <w:vAlign w:val="center"/>
          </w:tcPr>
          <w:p w14:paraId="19E99D1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RF-AUT-03</w:t>
            </w:r>
          </w:p>
        </w:tc>
        <w:tc>
          <w:tcPr>
            <w:tcW w:w="2100" w:type="dxa"/>
            <w:vAlign w:val="center"/>
          </w:tcPr>
          <w:p w14:paraId="323C50C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4EF3987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CU-02</w:t>
            </w:r>
          </w:p>
        </w:tc>
      </w:tr>
      <w:tr w:rsidR="00AE0278" w14:paraId="44681AE8" w14:textId="77777777">
        <w:tc>
          <w:tcPr>
            <w:tcW w:w="3100" w:type="dxa"/>
            <w:shd w:val="clear" w:color="auto" w:fill="F7F9FC"/>
            <w:vAlign w:val="center"/>
          </w:tcPr>
          <w:p w14:paraId="4189799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RF-AUT-04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520B57D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183500B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CU-02</w:t>
            </w:r>
          </w:p>
        </w:tc>
      </w:tr>
      <w:tr w:rsidR="00AE0278" w14:paraId="022FEF24" w14:textId="77777777">
        <w:tc>
          <w:tcPr>
            <w:tcW w:w="3100" w:type="dxa"/>
            <w:vAlign w:val="center"/>
          </w:tcPr>
          <w:p w14:paraId="68DD0E3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RF-AUT-05</w:t>
            </w:r>
          </w:p>
        </w:tc>
        <w:tc>
          <w:tcPr>
            <w:tcW w:w="2100" w:type="dxa"/>
            <w:vAlign w:val="center"/>
          </w:tcPr>
          <w:p w14:paraId="03786A2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vAlign w:val="center"/>
          </w:tcPr>
          <w:p w14:paraId="3D8DC0F3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CU-03</w:t>
            </w:r>
          </w:p>
        </w:tc>
      </w:tr>
      <w:tr w:rsidR="00AE0278" w14:paraId="61764A2F" w14:textId="77777777">
        <w:tc>
          <w:tcPr>
            <w:tcW w:w="3100" w:type="dxa"/>
            <w:shd w:val="clear" w:color="auto" w:fill="F7F9FC"/>
            <w:vAlign w:val="center"/>
          </w:tcPr>
          <w:p w14:paraId="03F5E8C9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RF-AUT-06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0BF01D0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15971E6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CU-01</w:t>
            </w:r>
          </w:p>
        </w:tc>
      </w:tr>
      <w:tr w:rsidR="00AE0278" w14:paraId="368851FD" w14:textId="77777777">
        <w:tc>
          <w:tcPr>
            <w:tcW w:w="3100" w:type="dxa"/>
            <w:vAlign w:val="center"/>
          </w:tcPr>
          <w:p w14:paraId="1208CE2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RF-AUT-07</w:t>
            </w:r>
          </w:p>
        </w:tc>
        <w:tc>
          <w:tcPr>
            <w:tcW w:w="2100" w:type="dxa"/>
            <w:vAlign w:val="center"/>
          </w:tcPr>
          <w:p w14:paraId="76DAA42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3CD79BF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CU-01</w:t>
            </w:r>
          </w:p>
        </w:tc>
      </w:tr>
      <w:tr w:rsidR="00AE0278" w14:paraId="773CE8E1" w14:textId="77777777">
        <w:tc>
          <w:tcPr>
            <w:tcW w:w="3100" w:type="dxa"/>
            <w:shd w:val="clear" w:color="auto" w:fill="F7F9FC"/>
            <w:vAlign w:val="center"/>
          </w:tcPr>
          <w:p w14:paraId="26BE344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RF-ACT-01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69E8215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0954047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CU-05</w:t>
            </w:r>
          </w:p>
        </w:tc>
      </w:tr>
      <w:tr w:rsidR="00AE0278" w14:paraId="7D05E031" w14:textId="77777777">
        <w:tc>
          <w:tcPr>
            <w:tcW w:w="3100" w:type="dxa"/>
            <w:vAlign w:val="center"/>
          </w:tcPr>
          <w:p w14:paraId="76BEE5C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RF-ACT-02</w:t>
            </w:r>
          </w:p>
        </w:tc>
        <w:tc>
          <w:tcPr>
            <w:tcW w:w="2100" w:type="dxa"/>
            <w:vAlign w:val="center"/>
          </w:tcPr>
          <w:p w14:paraId="14825F83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6896D21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CU-06</w:t>
            </w:r>
          </w:p>
        </w:tc>
      </w:tr>
      <w:tr w:rsidR="00AE0278" w14:paraId="728DFA1E" w14:textId="77777777">
        <w:tc>
          <w:tcPr>
            <w:tcW w:w="3100" w:type="dxa"/>
            <w:shd w:val="clear" w:color="auto" w:fill="F7F9FC"/>
            <w:vAlign w:val="center"/>
          </w:tcPr>
          <w:p w14:paraId="6576A7F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RF-ACT-03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1416ABC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44C91DE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CU-06</w:t>
            </w:r>
          </w:p>
        </w:tc>
      </w:tr>
      <w:tr w:rsidR="00AE0278" w14:paraId="117C9AE2" w14:textId="77777777">
        <w:tc>
          <w:tcPr>
            <w:tcW w:w="3100" w:type="dxa"/>
            <w:vAlign w:val="center"/>
          </w:tcPr>
          <w:p w14:paraId="4BC135C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RF-ACT-04</w:t>
            </w:r>
          </w:p>
        </w:tc>
        <w:tc>
          <w:tcPr>
            <w:tcW w:w="2100" w:type="dxa"/>
            <w:vAlign w:val="center"/>
          </w:tcPr>
          <w:p w14:paraId="4E37F37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538431F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CU-05</w:t>
            </w:r>
          </w:p>
        </w:tc>
      </w:tr>
      <w:tr w:rsidR="00AE0278" w14:paraId="60A5ADC9" w14:textId="77777777">
        <w:tc>
          <w:tcPr>
            <w:tcW w:w="3100" w:type="dxa"/>
            <w:shd w:val="clear" w:color="auto" w:fill="F7F9FC"/>
            <w:vAlign w:val="center"/>
          </w:tcPr>
          <w:p w14:paraId="744E89A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RF-ACT-05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04036BF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1251A14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CU-07</w:t>
            </w:r>
          </w:p>
        </w:tc>
      </w:tr>
      <w:tr w:rsidR="00AE0278" w14:paraId="25579E3A" w14:textId="77777777">
        <w:tc>
          <w:tcPr>
            <w:tcW w:w="3100" w:type="dxa"/>
            <w:vAlign w:val="center"/>
          </w:tcPr>
          <w:p w14:paraId="4F08D54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RF-ACT-06</w:t>
            </w:r>
          </w:p>
        </w:tc>
        <w:tc>
          <w:tcPr>
            <w:tcW w:w="2100" w:type="dxa"/>
            <w:vAlign w:val="center"/>
          </w:tcPr>
          <w:p w14:paraId="20EBF0A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167BC59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CU-04</w:t>
            </w:r>
          </w:p>
        </w:tc>
      </w:tr>
      <w:tr w:rsidR="00AE0278" w14:paraId="353D5AEB" w14:textId="77777777">
        <w:tc>
          <w:tcPr>
            <w:tcW w:w="3100" w:type="dxa"/>
            <w:shd w:val="clear" w:color="auto" w:fill="F7F9FC"/>
            <w:vAlign w:val="center"/>
          </w:tcPr>
          <w:p w14:paraId="2D5DDA4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RF-ACT-07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048BD36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0338CDD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CU-06</w:t>
            </w:r>
          </w:p>
        </w:tc>
      </w:tr>
      <w:tr w:rsidR="00AE0278" w14:paraId="076FD52E" w14:textId="77777777">
        <w:tc>
          <w:tcPr>
            <w:tcW w:w="3100" w:type="dxa"/>
            <w:vAlign w:val="center"/>
          </w:tcPr>
          <w:p w14:paraId="0DD5AA7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RF-IOT-01</w:t>
            </w:r>
          </w:p>
        </w:tc>
        <w:tc>
          <w:tcPr>
            <w:tcW w:w="2100" w:type="dxa"/>
            <w:vAlign w:val="center"/>
          </w:tcPr>
          <w:p w14:paraId="58FA41F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13C1A8A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CU-09</w:t>
            </w:r>
          </w:p>
        </w:tc>
      </w:tr>
      <w:tr w:rsidR="00AE0278" w14:paraId="0C6461A2" w14:textId="77777777">
        <w:tc>
          <w:tcPr>
            <w:tcW w:w="3100" w:type="dxa"/>
            <w:shd w:val="clear" w:color="auto" w:fill="F7F9FC"/>
            <w:vAlign w:val="center"/>
          </w:tcPr>
          <w:p w14:paraId="6851F643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RF-IOT-02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2B615D2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513F81D3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CU-08</w:t>
            </w:r>
          </w:p>
        </w:tc>
      </w:tr>
      <w:tr w:rsidR="00AE0278" w14:paraId="0D2C2D59" w14:textId="77777777">
        <w:tc>
          <w:tcPr>
            <w:tcW w:w="3100" w:type="dxa"/>
            <w:vAlign w:val="center"/>
          </w:tcPr>
          <w:p w14:paraId="02023F8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RF-IOT-03</w:t>
            </w:r>
          </w:p>
        </w:tc>
        <w:tc>
          <w:tcPr>
            <w:tcW w:w="2100" w:type="dxa"/>
            <w:vAlign w:val="center"/>
          </w:tcPr>
          <w:p w14:paraId="2B4AB51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6C1217E9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CU-10</w:t>
            </w:r>
          </w:p>
        </w:tc>
      </w:tr>
      <w:tr w:rsidR="00AE0278" w14:paraId="39C649F0" w14:textId="77777777">
        <w:tc>
          <w:tcPr>
            <w:tcW w:w="3100" w:type="dxa"/>
            <w:shd w:val="clear" w:color="auto" w:fill="F7F9FC"/>
            <w:vAlign w:val="center"/>
          </w:tcPr>
          <w:p w14:paraId="72D471C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RF-IOT-04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5B1E570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35FCAEA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CU-10</w:t>
            </w:r>
          </w:p>
        </w:tc>
      </w:tr>
      <w:tr w:rsidR="00AE0278" w14:paraId="1365C7E6" w14:textId="77777777">
        <w:tc>
          <w:tcPr>
            <w:tcW w:w="3100" w:type="dxa"/>
            <w:vAlign w:val="center"/>
          </w:tcPr>
          <w:p w14:paraId="070F584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RF-IOT-05</w:t>
            </w:r>
          </w:p>
        </w:tc>
        <w:tc>
          <w:tcPr>
            <w:tcW w:w="2100" w:type="dxa"/>
            <w:vAlign w:val="center"/>
          </w:tcPr>
          <w:p w14:paraId="72BA585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71DBAC1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CU-08</w:t>
            </w:r>
          </w:p>
        </w:tc>
      </w:tr>
      <w:tr w:rsidR="00AE0278" w14:paraId="2201D03F" w14:textId="77777777">
        <w:tc>
          <w:tcPr>
            <w:tcW w:w="3100" w:type="dxa"/>
            <w:shd w:val="clear" w:color="auto" w:fill="F7F9FC"/>
            <w:vAlign w:val="center"/>
          </w:tcPr>
          <w:p w14:paraId="42B2786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RF-IOT-06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53C2DE7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75DC5DA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CU-09</w:t>
            </w:r>
          </w:p>
        </w:tc>
      </w:tr>
      <w:tr w:rsidR="00AE0278" w14:paraId="12F5F1AE" w14:textId="77777777">
        <w:tc>
          <w:tcPr>
            <w:tcW w:w="3100" w:type="dxa"/>
            <w:vAlign w:val="center"/>
          </w:tcPr>
          <w:p w14:paraId="3A9ECF0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RF-IOT-07</w:t>
            </w:r>
          </w:p>
        </w:tc>
        <w:tc>
          <w:tcPr>
            <w:tcW w:w="2100" w:type="dxa"/>
            <w:vAlign w:val="center"/>
          </w:tcPr>
          <w:p w14:paraId="7979776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vAlign w:val="center"/>
          </w:tcPr>
          <w:p w14:paraId="43E713F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CU-11</w:t>
            </w:r>
          </w:p>
        </w:tc>
      </w:tr>
      <w:tr w:rsidR="00AE0278" w14:paraId="1E8B0A6B" w14:textId="77777777">
        <w:tc>
          <w:tcPr>
            <w:tcW w:w="3100" w:type="dxa"/>
            <w:shd w:val="clear" w:color="auto" w:fill="F7F9FC"/>
            <w:vAlign w:val="center"/>
          </w:tcPr>
          <w:p w14:paraId="004558D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RF-IOT-08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7F6EAFA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5456BC8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CU-09</w:t>
            </w:r>
          </w:p>
        </w:tc>
      </w:tr>
      <w:tr w:rsidR="00AE0278" w14:paraId="004E7D64" w14:textId="77777777">
        <w:tc>
          <w:tcPr>
            <w:tcW w:w="3100" w:type="dxa"/>
            <w:vAlign w:val="center"/>
          </w:tcPr>
          <w:p w14:paraId="571B650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RF-ALT-01</w:t>
            </w:r>
          </w:p>
        </w:tc>
        <w:tc>
          <w:tcPr>
            <w:tcW w:w="2100" w:type="dxa"/>
            <w:vAlign w:val="center"/>
          </w:tcPr>
          <w:p w14:paraId="50FF227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66DB260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CU-13</w:t>
            </w:r>
          </w:p>
        </w:tc>
      </w:tr>
      <w:tr w:rsidR="00AE0278" w14:paraId="79676708" w14:textId="77777777">
        <w:tc>
          <w:tcPr>
            <w:tcW w:w="3100" w:type="dxa"/>
            <w:shd w:val="clear" w:color="auto" w:fill="F7F9FC"/>
            <w:vAlign w:val="center"/>
          </w:tcPr>
          <w:p w14:paraId="5E2D043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RF-ALT-02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0006EC1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249B6B1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CU-12</w:t>
            </w:r>
          </w:p>
        </w:tc>
      </w:tr>
      <w:tr w:rsidR="00AE0278" w14:paraId="42F40D2C" w14:textId="77777777">
        <w:tc>
          <w:tcPr>
            <w:tcW w:w="3100" w:type="dxa"/>
            <w:vAlign w:val="center"/>
          </w:tcPr>
          <w:p w14:paraId="0EE88F0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RF-ALT-03</w:t>
            </w:r>
          </w:p>
        </w:tc>
        <w:tc>
          <w:tcPr>
            <w:tcW w:w="2100" w:type="dxa"/>
            <w:vAlign w:val="center"/>
          </w:tcPr>
          <w:p w14:paraId="0AC4A3F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34D3F89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CU-14</w:t>
            </w:r>
          </w:p>
        </w:tc>
      </w:tr>
      <w:tr w:rsidR="00AE0278" w14:paraId="6CAA8477" w14:textId="77777777">
        <w:tc>
          <w:tcPr>
            <w:tcW w:w="3100" w:type="dxa"/>
            <w:shd w:val="clear" w:color="auto" w:fill="F7F9FC"/>
            <w:vAlign w:val="center"/>
          </w:tcPr>
          <w:p w14:paraId="27AA2EC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RF-ALT-04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46D20B7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030EDFC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CU-15</w:t>
            </w:r>
          </w:p>
        </w:tc>
      </w:tr>
      <w:tr w:rsidR="00AE0278" w14:paraId="099300F8" w14:textId="77777777">
        <w:tc>
          <w:tcPr>
            <w:tcW w:w="3100" w:type="dxa"/>
            <w:vAlign w:val="center"/>
          </w:tcPr>
          <w:p w14:paraId="64A8C08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RF-ALT-05</w:t>
            </w:r>
          </w:p>
        </w:tc>
        <w:tc>
          <w:tcPr>
            <w:tcW w:w="2100" w:type="dxa"/>
            <w:vAlign w:val="center"/>
          </w:tcPr>
          <w:p w14:paraId="38EE7F7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309CC73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CU-14</w:t>
            </w:r>
          </w:p>
        </w:tc>
      </w:tr>
      <w:tr w:rsidR="00AE0278" w14:paraId="611FC262" w14:textId="77777777">
        <w:tc>
          <w:tcPr>
            <w:tcW w:w="3100" w:type="dxa"/>
            <w:shd w:val="clear" w:color="auto" w:fill="F7F9FC"/>
            <w:vAlign w:val="center"/>
          </w:tcPr>
          <w:p w14:paraId="6798CCD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RF-ALT-06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6BF7F88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230710E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CU-14</w:t>
            </w:r>
          </w:p>
        </w:tc>
      </w:tr>
      <w:tr w:rsidR="00AE0278" w14:paraId="5B747544" w14:textId="77777777">
        <w:tc>
          <w:tcPr>
            <w:tcW w:w="3100" w:type="dxa"/>
            <w:vAlign w:val="center"/>
          </w:tcPr>
          <w:p w14:paraId="1A71155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RF-ALT-07</w:t>
            </w:r>
          </w:p>
        </w:tc>
        <w:tc>
          <w:tcPr>
            <w:tcW w:w="2100" w:type="dxa"/>
            <w:vAlign w:val="center"/>
          </w:tcPr>
          <w:p w14:paraId="7F4CD8C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4226897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CU-13</w:t>
            </w:r>
          </w:p>
        </w:tc>
      </w:tr>
      <w:tr w:rsidR="00AE0278" w14:paraId="4A67C54C" w14:textId="77777777">
        <w:tc>
          <w:tcPr>
            <w:tcW w:w="3100" w:type="dxa"/>
            <w:shd w:val="clear" w:color="auto" w:fill="F7F9FC"/>
            <w:vAlign w:val="center"/>
          </w:tcPr>
          <w:p w14:paraId="1DC3A62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RF-ALT-08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75C9974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51BC933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CU-12</w:t>
            </w:r>
          </w:p>
        </w:tc>
      </w:tr>
      <w:tr w:rsidR="00AE0278" w14:paraId="42475083" w14:textId="77777777">
        <w:tc>
          <w:tcPr>
            <w:tcW w:w="3100" w:type="dxa"/>
            <w:vAlign w:val="center"/>
          </w:tcPr>
          <w:p w14:paraId="0A08D02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RF-BIO-01</w:t>
            </w:r>
          </w:p>
        </w:tc>
        <w:tc>
          <w:tcPr>
            <w:tcW w:w="2100" w:type="dxa"/>
            <w:vAlign w:val="center"/>
          </w:tcPr>
          <w:p w14:paraId="0F27007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664A0FA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CU-16</w:t>
            </w:r>
          </w:p>
        </w:tc>
      </w:tr>
      <w:tr w:rsidR="00AE0278" w14:paraId="47472312" w14:textId="77777777">
        <w:tc>
          <w:tcPr>
            <w:tcW w:w="3100" w:type="dxa"/>
            <w:shd w:val="clear" w:color="auto" w:fill="F7F9FC"/>
            <w:vAlign w:val="center"/>
          </w:tcPr>
          <w:p w14:paraId="44E8791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RF-BIO-02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25798C5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4308E50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CU-17</w:t>
            </w:r>
          </w:p>
        </w:tc>
      </w:tr>
      <w:tr w:rsidR="00AE0278" w14:paraId="430A1145" w14:textId="77777777">
        <w:tc>
          <w:tcPr>
            <w:tcW w:w="3100" w:type="dxa"/>
            <w:vAlign w:val="center"/>
          </w:tcPr>
          <w:p w14:paraId="0F19481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RF-BIO-03</w:t>
            </w:r>
          </w:p>
        </w:tc>
        <w:tc>
          <w:tcPr>
            <w:tcW w:w="2100" w:type="dxa"/>
            <w:vAlign w:val="center"/>
          </w:tcPr>
          <w:p w14:paraId="57EFC9C3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251C202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CU-17</w:t>
            </w:r>
          </w:p>
        </w:tc>
      </w:tr>
      <w:tr w:rsidR="00AE0278" w14:paraId="152C1164" w14:textId="77777777">
        <w:tc>
          <w:tcPr>
            <w:tcW w:w="3100" w:type="dxa"/>
            <w:shd w:val="clear" w:color="auto" w:fill="F7F9FC"/>
            <w:vAlign w:val="center"/>
          </w:tcPr>
          <w:p w14:paraId="7445582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RF-BIO-04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235308E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4389B68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CU-18</w:t>
            </w:r>
          </w:p>
        </w:tc>
      </w:tr>
      <w:tr w:rsidR="00AE0278" w14:paraId="1C4AB958" w14:textId="77777777">
        <w:tc>
          <w:tcPr>
            <w:tcW w:w="3100" w:type="dxa"/>
            <w:vAlign w:val="center"/>
          </w:tcPr>
          <w:p w14:paraId="56A3F39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RF-BIO-05</w:t>
            </w:r>
          </w:p>
        </w:tc>
        <w:tc>
          <w:tcPr>
            <w:tcW w:w="2100" w:type="dxa"/>
            <w:vAlign w:val="center"/>
          </w:tcPr>
          <w:p w14:paraId="6AC4753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0DD0BF6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CU-16</w:t>
            </w:r>
          </w:p>
        </w:tc>
      </w:tr>
      <w:tr w:rsidR="00AE0278" w14:paraId="14C5EC2C" w14:textId="77777777">
        <w:tc>
          <w:tcPr>
            <w:tcW w:w="3100" w:type="dxa"/>
            <w:shd w:val="clear" w:color="auto" w:fill="F7F9FC"/>
            <w:vAlign w:val="center"/>
          </w:tcPr>
          <w:p w14:paraId="79B514EB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RF-BIO-06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32F0852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5031779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CU-13</w:t>
            </w:r>
          </w:p>
        </w:tc>
      </w:tr>
      <w:tr w:rsidR="00AE0278" w14:paraId="33DBE047" w14:textId="77777777">
        <w:tc>
          <w:tcPr>
            <w:tcW w:w="3100" w:type="dxa"/>
            <w:vAlign w:val="center"/>
          </w:tcPr>
          <w:p w14:paraId="0802015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RF-BIO-07</w:t>
            </w:r>
          </w:p>
        </w:tc>
        <w:tc>
          <w:tcPr>
            <w:tcW w:w="2100" w:type="dxa"/>
            <w:vAlign w:val="center"/>
          </w:tcPr>
          <w:p w14:paraId="4FF9562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2B6A9B7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CU-19</w:t>
            </w:r>
          </w:p>
        </w:tc>
      </w:tr>
      <w:tr w:rsidR="00AE0278" w14:paraId="3862D064" w14:textId="77777777">
        <w:tc>
          <w:tcPr>
            <w:tcW w:w="3100" w:type="dxa"/>
            <w:shd w:val="clear" w:color="auto" w:fill="F7F9FC"/>
            <w:vAlign w:val="center"/>
          </w:tcPr>
          <w:p w14:paraId="1537E3C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RF-INT-01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1C2A16E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15BE161B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CU-20</w:t>
            </w:r>
          </w:p>
        </w:tc>
      </w:tr>
      <w:tr w:rsidR="00AE0278" w14:paraId="22EFBD77" w14:textId="77777777">
        <w:tc>
          <w:tcPr>
            <w:tcW w:w="3100" w:type="dxa"/>
            <w:vAlign w:val="center"/>
          </w:tcPr>
          <w:p w14:paraId="41E16A3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RF-INT-02</w:t>
            </w:r>
          </w:p>
        </w:tc>
        <w:tc>
          <w:tcPr>
            <w:tcW w:w="2100" w:type="dxa"/>
            <w:vAlign w:val="center"/>
          </w:tcPr>
          <w:p w14:paraId="7FB48A4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4C2AD9BB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CU-21</w:t>
            </w:r>
          </w:p>
        </w:tc>
      </w:tr>
      <w:tr w:rsidR="00AE0278" w14:paraId="24642527" w14:textId="77777777">
        <w:tc>
          <w:tcPr>
            <w:tcW w:w="3100" w:type="dxa"/>
            <w:shd w:val="clear" w:color="auto" w:fill="F7F9FC"/>
            <w:vAlign w:val="center"/>
          </w:tcPr>
          <w:p w14:paraId="62445299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lastRenderedPageBreak/>
              <w:t>RF-INT-03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7221A5A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0FDCCAF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CU-21</w:t>
            </w:r>
          </w:p>
        </w:tc>
      </w:tr>
      <w:tr w:rsidR="00AE0278" w14:paraId="0440A580" w14:textId="77777777">
        <w:tc>
          <w:tcPr>
            <w:tcW w:w="3100" w:type="dxa"/>
            <w:vAlign w:val="center"/>
          </w:tcPr>
          <w:p w14:paraId="30F2097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RF-INT-04</w:t>
            </w:r>
          </w:p>
        </w:tc>
        <w:tc>
          <w:tcPr>
            <w:tcW w:w="2100" w:type="dxa"/>
            <w:vAlign w:val="center"/>
          </w:tcPr>
          <w:p w14:paraId="5061A17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vAlign w:val="center"/>
          </w:tcPr>
          <w:p w14:paraId="4C7D76B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CU-15</w:t>
            </w:r>
          </w:p>
        </w:tc>
      </w:tr>
      <w:tr w:rsidR="00AE0278" w14:paraId="6DB953CA" w14:textId="77777777">
        <w:tc>
          <w:tcPr>
            <w:tcW w:w="3100" w:type="dxa"/>
            <w:shd w:val="clear" w:color="auto" w:fill="F7F9FC"/>
            <w:vAlign w:val="center"/>
          </w:tcPr>
          <w:p w14:paraId="3F19D08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RF-INT-05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5C60B6C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05501EC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CU-22</w:t>
            </w:r>
          </w:p>
        </w:tc>
      </w:tr>
      <w:tr w:rsidR="00AE0278" w14:paraId="35B40B1B" w14:textId="77777777">
        <w:tc>
          <w:tcPr>
            <w:tcW w:w="3100" w:type="dxa"/>
            <w:vAlign w:val="center"/>
          </w:tcPr>
          <w:p w14:paraId="79D05F9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RF-INT-06</w:t>
            </w:r>
          </w:p>
        </w:tc>
        <w:tc>
          <w:tcPr>
            <w:tcW w:w="2100" w:type="dxa"/>
            <w:vAlign w:val="center"/>
          </w:tcPr>
          <w:p w14:paraId="49F13EB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46FEBD6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CU-22</w:t>
            </w:r>
          </w:p>
        </w:tc>
      </w:tr>
      <w:tr w:rsidR="00AE0278" w14:paraId="7F83473A" w14:textId="77777777">
        <w:tc>
          <w:tcPr>
            <w:tcW w:w="3100" w:type="dxa"/>
            <w:shd w:val="clear" w:color="auto" w:fill="F7F9FC"/>
            <w:vAlign w:val="center"/>
          </w:tcPr>
          <w:p w14:paraId="571ACE9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RF-INT-07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3A756C0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45BD055B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CU-22</w:t>
            </w:r>
          </w:p>
        </w:tc>
      </w:tr>
      <w:tr w:rsidR="00AE0278" w14:paraId="6EF9FB85" w14:textId="77777777">
        <w:tc>
          <w:tcPr>
            <w:tcW w:w="3100" w:type="dxa"/>
            <w:vAlign w:val="center"/>
          </w:tcPr>
          <w:p w14:paraId="6A506DB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RF-INT-08</w:t>
            </w:r>
          </w:p>
        </w:tc>
        <w:tc>
          <w:tcPr>
            <w:tcW w:w="2100" w:type="dxa"/>
            <w:vAlign w:val="center"/>
          </w:tcPr>
          <w:p w14:paraId="2A8EB44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3FA66EEB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CU-20</w:t>
            </w:r>
          </w:p>
        </w:tc>
      </w:tr>
      <w:tr w:rsidR="00AE0278" w14:paraId="37A48201" w14:textId="77777777">
        <w:tc>
          <w:tcPr>
            <w:tcW w:w="3100" w:type="dxa"/>
            <w:shd w:val="clear" w:color="auto" w:fill="F7F9FC"/>
            <w:vAlign w:val="center"/>
          </w:tcPr>
          <w:p w14:paraId="0733087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RF-INT-09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4BD88D7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4DB86FC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CU-23</w:t>
            </w:r>
          </w:p>
        </w:tc>
      </w:tr>
      <w:tr w:rsidR="00AE0278" w14:paraId="58B25562" w14:textId="77777777">
        <w:tc>
          <w:tcPr>
            <w:tcW w:w="3100" w:type="dxa"/>
            <w:vAlign w:val="center"/>
          </w:tcPr>
          <w:p w14:paraId="3D1C250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RF-ZBX-01</w:t>
            </w:r>
          </w:p>
        </w:tc>
        <w:tc>
          <w:tcPr>
            <w:tcW w:w="2100" w:type="dxa"/>
            <w:vAlign w:val="center"/>
          </w:tcPr>
          <w:p w14:paraId="7BC43329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30EB94A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CU-24</w:t>
            </w:r>
          </w:p>
        </w:tc>
      </w:tr>
      <w:tr w:rsidR="00AE0278" w14:paraId="1424852D" w14:textId="77777777">
        <w:tc>
          <w:tcPr>
            <w:tcW w:w="3100" w:type="dxa"/>
            <w:shd w:val="clear" w:color="auto" w:fill="F7F9FC"/>
            <w:vAlign w:val="center"/>
          </w:tcPr>
          <w:p w14:paraId="4C82697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RF-ZBX-02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4214E46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368B2C0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CU-25</w:t>
            </w:r>
          </w:p>
        </w:tc>
      </w:tr>
      <w:tr w:rsidR="00AE0278" w14:paraId="612FFFAC" w14:textId="77777777">
        <w:tc>
          <w:tcPr>
            <w:tcW w:w="3100" w:type="dxa"/>
            <w:vAlign w:val="center"/>
          </w:tcPr>
          <w:p w14:paraId="5815BC2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RF-ZBX-03</w:t>
            </w:r>
          </w:p>
        </w:tc>
        <w:tc>
          <w:tcPr>
            <w:tcW w:w="2100" w:type="dxa"/>
            <w:vAlign w:val="center"/>
          </w:tcPr>
          <w:p w14:paraId="54E015D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33B27B4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CU-24</w:t>
            </w:r>
          </w:p>
        </w:tc>
      </w:tr>
      <w:tr w:rsidR="00AE0278" w14:paraId="66E5278E" w14:textId="77777777">
        <w:tc>
          <w:tcPr>
            <w:tcW w:w="3100" w:type="dxa"/>
            <w:shd w:val="clear" w:color="auto" w:fill="F7F9FC"/>
            <w:vAlign w:val="center"/>
          </w:tcPr>
          <w:p w14:paraId="0970621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RF-ZBX-04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377103A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05A6B11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CU-25</w:t>
            </w:r>
          </w:p>
        </w:tc>
      </w:tr>
      <w:tr w:rsidR="00AE0278" w14:paraId="3B96FDFF" w14:textId="77777777">
        <w:tc>
          <w:tcPr>
            <w:tcW w:w="3100" w:type="dxa"/>
            <w:vAlign w:val="center"/>
          </w:tcPr>
          <w:p w14:paraId="002B6F1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RF-ZBX-05</w:t>
            </w:r>
          </w:p>
        </w:tc>
        <w:tc>
          <w:tcPr>
            <w:tcW w:w="2100" w:type="dxa"/>
            <w:vAlign w:val="center"/>
          </w:tcPr>
          <w:p w14:paraId="1D52A765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06EC8AD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CU-19</w:t>
            </w:r>
          </w:p>
        </w:tc>
      </w:tr>
      <w:tr w:rsidR="00AE0278" w14:paraId="1F8E5B98" w14:textId="77777777">
        <w:tc>
          <w:tcPr>
            <w:tcW w:w="3100" w:type="dxa"/>
            <w:shd w:val="clear" w:color="auto" w:fill="F7F9FC"/>
            <w:vAlign w:val="center"/>
          </w:tcPr>
          <w:p w14:paraId="2A9AF9B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RF-BI-01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166A2E9B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028ABD5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CU-26</w:t>
            </w:r>
          </w:p>
        </w:tc>
      </w:tr>
      <w:tr w:rsidR="00AE0278" w14:paraId="12434D9F" w14:textId="77777777">
        <w:tc>
          <w:tcPr>
            <w:tcW w:w="3100" w:type="dxa"/>
            <w:vAlign w:val="center"/>
          </w:tcPr>
          <w:p w14:paraId="335C9769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RF-BI-02</w:t>
            </w:r>
          </w:p>
        </w:tc>
        <w:tc>
          <w:tcPr>
            <w:tcW w:w="2100" w:type="dxa"/>
            <w:vAlign w:val="center"/>
          </w:tcPr>
          <w:p w14:paraId="022962A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08BB3DEC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CU-26</w:t>
            </w:r>
          </w:p>
        </w:tc>
      </w:tr>
      <w:tr w:rsidR="00AE0278" w14:paraId="6DFE74E0" w14:textId="77777777">
        <w:tc>
          <w:tcPr>
            <w:tcW w:w="3100" w:type="dxa"/>
            <w:shd w:val="clear" w:color="auto" w:fill="F7F9FC"/>
            <w:vAlign w:val="center"/>
          </w:tcPr>
          <w:p w14:paraId="3B0590C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RF-BI-03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5F905D46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40573E5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CU-27</w:t>
            </w:r>
          </w:p>
        </w:tc>
      </w:tr>
      <w:tr w:rsidR="00AE0278" w14:paraId="22592226" w14:textId="77777777">
        <w:tc>
          <w:tcPr>
            <w:tcW w:w="3100" w:type="dxa"/>
            <w:vAlign w:val="center"/>
          </w:tcPr>
          <w:p w14:paraId="55D6B23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RF-BI-04</w:t>
            </w:r>
          </w:p>
        </w:tc>
        <w:tc>
          <w:tcPr>
            <w:tcW w:w="2100" w:type="dxa"/>
            <w:vAlign w:val="center"/>
          </w:tcPr>
          <w:p w14:paraId="287F6669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vAlign w:val="center"/>
          </w:tcPr>
          <w:p w14:paraId="3A8884B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CU-26</w:t>
            </w:r>
          </w:p>
        </w:tc>
      </w:tr>
      <w:tr w:rsidR="00AE0278" w14:paraId="68FDD950" w14:textId="77777777">
        <w:tc>
          <w:tcPr>
            <w:tcW w:w="3100" w:type="dxa"/>
            <w:shd w:val="clear" w:color="auto" w:fill="F7F9FC"/>
            <w:vAlign w:val="center"/>
          </w:tcPr>
          <w:p w14:paraId="507FDD53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RF-BI-05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545AAAF8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355DC29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CU-27</w:t>
            </w:r>
          </w:p>
        </w:tc>
      </w:tr>
      <w:tr w:rsidR="00AE0278" w14:paraId="2002D459" w14:textId="77777777">
        <w:tc>
          <w:tcPr>
            <w:tcW w:w="3100" w:type="dxa"/>
            <w:vAlign w:val="center"/>
          </w:tcPr>
          <w:p w14:paraId="6D86CB7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RF-MOV-01</w:t>
            </w:r>
          </w:p>
        </w:tc>
        <w:tc>
          <w:tcPr>
            <w:tcW w:w="2100" w:type="dxa"/>
            <w:vAlign w:val="center"/>
          </w:tcPr>
          <w:p w14:paraId="6737B82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5FA0344A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CU-01</w:t>
            </w:r>
          </w:p>
        </w:tc>
      </w:tr>
      <w:tr w:rsidR="00AE0278" w14:paraId="10B633E4" w14:textId="77777777">
        <w:tc>
          <w:tcPr>
            <w:tcW w:w="3100" w:type="dxa"/>
            <w:shd w:val="clear" w:color="auto" w:fill="F7F9FC"/>
            <w:vAlign w:val="center"/>
          </w:tcPr>
          <w:p w14:paraId="27992F8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RF-MOV-03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3AC115A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1C695A34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CU-14</w:t>
            </w:r>
          </w:p>
        </w:tc>
      </w:tr>
      <w:tr w:rsidR="00AE0278" w14:paraId="54CF27C8" w14:textId="77777777">
        <w:tc>
          <w:tcPr>
            <w:tcW w:w="3100" w:type="dxa"/>
            <w:vAlign w:val="center"/>
          </w:tcPr>
          <w:p w14:paraId="38F171BE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RF-MOV-04</w:t>
            </w:r>
          </w:p>
        </w:tc>
        <w:tc>
          <w:tcPr>
            <w:tcW w:w="2100" w:type="dxa"/>
            <w:vAlign w:val="center"/>
          </w:tcPr>
          <w:p w14:paraId="21A55D8B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4150" w:type="dxa"/>
            <w:vAlign w:val="center"/>
          </w:tcPr>
          <w:p w14:paraId="600256F7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CU-10</w:t>
            </w:r>
          </w:p>
        </w:tc>
      </w:tr>
      <w:tr w:rsidR="00AE0278" w14:paraId="552AB01D" w14:textId="77777777">
        <w:tc>
          <w:tcPr>
            <w:tcW w:w="3100" w:type="dxa"/>
            <w:shd w:val="clear" w:color="auto" w:fill="F7F9FC"/>
            <w:vAlign w:val="center"/>
          </w:tcPr>
          <w:p w14:paraId="2A360CA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RF-MOV-05</w:t>
            </w:r>
          </w:p>
        </w:tc>
        <w:tc>
          <w:tcPr>
            <w:tcW w:w="2100" w:type="dxa"/>
            <w:shd w:val="clear" w:color="auto" w:fill="F7F9FC"/>
            <w:vAlign w:val="center"/>
          </w:tcPr>
          <w:p w14:paraId="768F68AF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shd w:val="clear" w:color="auto" w:fill="F7F9FC"/>
            <w:vAlign w:val="center"/>
          </w:tcPr>
          <w:p w14:paraId="76AFE680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CU-18, CU-23</w:t>
            </w:r>
          </w:p>
        </w:tc>
      </w:tr>
      <w:tr w:rsidR="00AE0278" w14:paraId="5463C3DD" w14:textId="77777777">
        <w:tc>
          <w:tcPr>
            <w:tcW w:w="3100" w:type="dxa"/>
            <w:vAlign w:val="center"/>
          </w:tcPr>
          <w:p w14:paraId="61B32CDD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RF-AUD-05</w:t>
            </w:r>
          </w:p>
        </w:tc>
        <w:tc>
          <w:tcPr>
            <w:tcW w:w="2100" w:type="dxa"/>
            <w:vAlign w:val="center"/>
          </w:tcPr>
          <w:p w14:paraId="31CCFC71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150" w:type="dxa"/>
            <w:vAlign w:val="center"/>
          </w:tcPr>
          <w:p w14:paraId="1FFD52F2" w14:textId="77777777" w:rsidR="00AE0278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CU-19</w:t>
            </w:r>
          </w:p>
        </w:tc>
      </w:tr>
    </w:tbl>
    <w:p w14:paraId="125DC6BC" w14:textId="77777777" w:rsidR="00AE0278" w:rsidRDefault="00000000">
      <w:pPr>
        <w:pStyle w:val="Ttulo1"/>
        <w:spacing w:before="400"/>
      </w:pPr>
      <w:r>
        <w:t>Referencia de notación y fuentes</w:t>
      </w:r>
    </w:p>
    <w:p w14:paraId="329DDEC8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Equipo SICMA. (2026). Documento de requerimientos SICMA, versión 1.0 [Documento académico de trabajo].</w:t>
      </w:r>
    </w:p>
    <w:p w14:paraId="6D78793E" w14:textId="77777777" w:rsidR="00AE0278" w:rsidRDefault="00000000">
      <w:pPr>
        <w:spacing w:after="150"/>
      </w:pPr>
      <w:r>
        <w:t>Object Management Group. (2017). OMG Unified Modeling Language (OMG UML), Version 2.5.1. https://www.omg.org/spec/UML/2.5.1</w:t>
      </w:r>
    </w:p>
    <w:p w14:paraId="41D03084" w14:textId="77777777" w:rsidR="00AE0278" w:rsidRPr="009164D0" w:rsidRDefault="00000000">
      <w:pPr>
        <w:spacing w:after="150"/>
        <w:rPr>
          <w:lang w:val="es-ES"/>
        </w:rPr>
      </w:pPr>
      <w:r>
        <w:rPr>
          <w:lang w:val="es-ES"/>
        </w:rPr>
        <w:t>Las fichas y figuras son elaboración para el caso simulado SICMA. La referencia UML se usa para notación; las funciones proceden del documento de requisitos y de los acuerdos del equipo.</w:t>
      </w:r>
    </w:p>
    <w:sectPr w:rsidR="00AE0278" w:rsidRPr="009164D0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1417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5FE08" w14:textId="77777777" w:rsidR="00D43AE6" w:rsidRDefault="00D43AE6">
      <w:pPr>
        <w:spacing w:after="0" w:line="240" w:lineRule="auto"/>
      </w:pPr>
      <w:r>
        <w:separator/>
      </w:r>
    </w:p>
  </w:endnote>
  <w:endnote w:type="continuationSeparator" w:id="0">
    <w:p w14:paraId="5DC1D57F" w14:textId="77777777" w:rsidR="00D43AE6" w:rsidRDefault="00D43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CFC6" w14:textId="77777777" w:rsidR="00EE0FDC" w:rsidRDefault="00000000">
    <w:pPr>
      <w:spacing w:after="0"/>
      <w:jc w:val="center"/>
    </w:pPr>
    <w:r>
      <w:rPr>
        <w:color w:val="808080"/>
        <w:sz w:val="16"/>
        <w:szCs w:val="16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808080"/>
        <w:sz w:val="16"/>
        <w:szCs w:val="16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9AEE" w14:textId="77777777" w:rsidR="00EE0FDC" w:rsidRDefault="00EE0F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EE6D" w14:textId="77777777" w:rsidR="00D43AE6" w:rsidRDefault="00D43AE6">
      <w:pPr>
        <w:spacing w:after="0" w:line="240" w:lineRule="auto"/>
      </w:pPr>
      <w:r>
        <w:separator/>
      </w:r>
    </w:p>
  </w:footnote>
  <w:footnote w:type="continuationSeparator" w:id="0">
    <w:p w14:paraId="4DBEC55A" w14:textId="77777777" w:rsidR="00D43AE6" w:rsidRDefault="00D43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2EAE" w14:textId="77777777" w:rsidR="00EE0FDC" w:rsidRDefault="00000000">
    <w:pPr>
      <w:pBdr>
        <w:bottom w:val="single" w:sz="6" w:space="4" w:color="BFBFBF"/>
      </w:pBdr>
      <w:spacing w:after="0"/>
      <w:jc w:val="right"/>
    </w:pPr>
    <w:r>
      <w:rPr>
        <w:color w:val="808080"/>
        <w:sz w:val="16"/>
        <w:szCs w:val="16"/>
      </w:rPr>
      <w:t>SICMA · Casos de Uso · Duoc UC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9B0BB" w14:textId="77777777" w:rsidR="00EE0FDC" w:rsidRDefault="00EE0F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8A6"/>
    <w:multiLevelType w:val="multilevel"/>
    <w:tmpl w:val="61F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01CCF"/>
    <w:multiLevelType w:val="hybridMultilevel"/>
    <w:tmpl w:val="AF3C1F6E"/>
    <w:lvl w:ilvl="0" w:tplc="4970CF6A">
      <w:start w:val="1"/>
      <w:numFmt w:val="bullet"/>
      <w:lvlText w:val="●"/>
      <w:lvlJc w:val="left"/>
      <w:pPr>
        <w:ind w:left="720" w:hanging="360"/>
      </w:pPr>
    </w:lvl>
    <w:lvl w:ilvl="1" w:tplc="9B2C7840">
      <w:start w:val="1"/>
      <w:numFmt w:val="bullet"/>
      <w:lvlText w:val="○"/>
      <w:lvlJc w:val="left"/>
      <w:pPr>
        <w:ind w:left="1440" w:hanging="360"/>
      </w:pPr>
    </w:lvl>
    <w:lvl w:ilvl="2" w:tplc="9746BC98">
      <w:start w:val="1"/>
      <w:numFmt w:val="bullet"/>
      <w:lvlText w:val="■"/>
      <w:lvlJc w:val="left"/>
      <w:pPr>
        <w:ind w:left="2160" w:hanging="360"/>
      </w:pPr>
    </w:lvl>
    <w:lvl w:ilvl="3" w:tplc="89E0E7EE">
      <w:start w:val="1"/>
      <w:numFmt w:val="bullet"/>
      <w:lvlText w:val="●"/>
      <w:lvlJc w:val="left"/>
      <w:pPr>
        <w:ind w:left="2880" w:hanging="360"/>
      </w:pPr>
    </w:lvl>
    <w:lvl w:ilvl="4" w:tplc="5434E7C8">
      <w:start w:val="1"/>
      <w:numFmt w:val="bullet"/>
      <w:lvlText w:val="○"/>
      <w:lvlJc w:val="left"/>
      <w:pPr>
        <w:ind w:left="3600" w:hanging="360"/>
      </w:pPr>
    </w:lvl>
    <w:lvl w:ilvl="5" w:tplc="951239D2">
      <w:start w:val="1"/>
      <w:numFmt w:val="bullet"/>
      <w:lvlText w:val="■"/>
      <w:lvlJc w:val="left"/>
      <w:pPr>
        <w:ind w:left="4320" w:hanging="360"/>
      </w:pPr>
    </w:lvl>
    <w:lvl w:ilvl="6" w:tplc="B384593A">
      <w:start w:val="1"/>
      <w:numFmt w:val="bullet"/>
      <w:lvlText w:val="●"/>
      <w:lvlJc w:val="left"/>
      <w:pPr>
        <w:ind w:left="5040" w:hanging="360"/>
      </w:pPr>
    </w:lvl>
    <w:lvl w:ilvl="7" w:tplc="8BACD7B4">
      <w:start w:val="1"/>
      <w:numFmt w:val="bullet"/>
      <w:lvlText w:val="●"/>
      <w:lvlJc w:val="left"/>
      <w:pPr>
        <w:ind w:left="5760" w:hanging="360"/>
      </w:pPr>
    </w:lvl>
    <w:lvl w:ilvl="8" w:tplc="CBECC52C">
      <w:start w:val="1"/>
      <w:numFmt w:val="bullet"/>
      <w:lvlText w:val="●"/>
      <w:lvlJc w:val="left"/>
      <w:pPr>
        <w:ind w:left="6480" w:hanging="360"/>
      </w:pPr>
    </w:lvl>
  </w:abstractNum>
  <w:num w:numId="1" w16cid:durableId="1303343622">
    <w:abstractNumId w:val="1"/>
    <w:lvlOverride w:ilvl="0">
      <w:startOverride w:val="1"/>
    </w:lvlOverride>
  </w:num>
  <w:num w:numId="2" w16cid:durableId="188948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278"/>
    <w:rsid w:val="000E70F7"/>
    <w:rsid w:val="00132E37"/>
    <w:rsid w:val="002965D8"/>
    <w:rsid w:val="0085444C"/>
    <w:rsid w:val="009164D0"/>
    <w:rsid w:val="00AE0278"/>
    <w:rsid w:val="00D43AE6"/>
    <w:rsid w:val="00EE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A5BD"/>
  <w15:docId w15:val="{DBB9EFDD-49A3-4A53-B5A8-309F652C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02020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</w:style>
  <w:style w:type="paragraph" w:styleId="Ttulo1">
    <w:name w:val="heading 1"/>
    <w:basedOn w:val="Normal"/>
    <w:pPr>
      <w:keepNext/>
      <w:keepLines/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pPr>
      <w:keepNext/>
      <w:keepLines/>
      <w:spacing w:before="280" w:after="14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basedOn w:val="Normal"/>
    <w:pPr>
      <w:keepNext/>
      <w:keepLines/>
      <w:spacing w:before="22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pPr>
      <w:keepNext/>
      <w:keepLines/>
      <w:spacing w:before="200" w:after="100"/>
      <w:outlineLvl w:val="3"/>
    </w:pPr>
    <w:rPr>
      <w:b/>
      <w:bCs/>
      <w:color w:val="40404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2429</Words>
  <Characters>13851</Characters>
  <Application>Microsoft Office Word</Application>
  <DocSecurity>0</DocSecurity>
  <Lines>115</Lines>
  <Paragraphs>32</Paragraphs>
  <ScaleCrop>false</ScaleCrop>
  <Company/>
  <LinksUpToDate>false</LinksUpToDate>
  <CharactersWithSpaces>16248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Alvaro Gonzalez Briones</cp:lastModifiedBy>
  <cp:revision>4</cp:revision>
  <dcterms:created xsi:type="dcterms:W3CDTF">2026-09-11T21:17:00Z</dcterms:created>
  <dcterms:modified xsi:type="dcterms:W3CDTF">2026-09-12T03:32:00Z</dcterms:modified>
</cp:coreProperties>
</file>