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a="http://schemas.openxmlformats.org/drawingml/2006/main" xmlns:pic="http://schemas.openxmlformats.org/drawingml/2006/picture">
      <w:pPr>
        <w:jc w:val="left"/>
        <w:spacing w:after="240"/>
      </w:pPr>
      <w:r>
        <w:drawing>
          <wp:inline distT="0" distB="0" distL="0" distR="0">
            <wp:extent cx="2232000" cy="721816"/>
            <wp:effectExtent l="0" t="0" r="0" b="0"/>
            <wp:docPr id="900" name="LogoDuoc" descr="Duoc UC - Escuela de Informatica y Telecomunicacion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0" name="logo.png"/>
                    <pic:cNvPicPr/>
                  </pic:nvPicPr>
                  <pic:blipFill>
                    <a:blip r:embed="rIdLogoSICMA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721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0" w:line="276" w:lineRule="auto"/>
      </w:pPr>
      <w:r>
        <w:rPr>
          <w:rFonts w:ascii="Calibri" w:hAnsi="Calibri" w:cs="Calibri"/>
          <w:color w:val="202020"/>
          <w:sz w:val="22"/>
          <w:szCs w:val="22"/>
        </w:rPr>
        <w:t xml:space="preserve"/>
      </w:r>
    </w:p>
    <w:p>
      <w:pPr>
        <w:jc w:val="center"/>
        <w:spacing w:before="0" w:after="80" w:line="276" w:lineRule="auto"/>
      </w:pPr>
      <w:r>
        <w:rPr>
          <w:rFonts w:ascii="Calibri" w:hAnsi="Calibri" w:cs="Calibri"/>
          <w:b/>
          <w:color w:val="7F7F7F"/>
          <w:sz w:val="18"/>
          <w:szCs w:val="18"/>
        </w:rPr>
        <w:t xml:space="preserve">CAPSTONE · FASE 1</w:t>
      </w:r>
    </w:p>
    <w:p>
      <w:pPr>
        <w:jc w:val="center"/>
        <w:spacing w:before="0" w:after="100" w:line="276" w:lineRule="auto"/>
      </w:pPr>
      <w:r>
        <w:rPr>
          <w:rFonts w:ascii="Calibri" w:hAnsi="Calibri" w:cs="Calibri"/>
          <w:b/>
          <w:color w:val="1F3864"/>
          <w:sz w:val="64"/>
          <w:szCs w:val="64"/>
        </w:rPr>
        <w:t xml:space="preserve">SICMA</w:t>
      </w:r>
    </w:p>
    <w:p>
      <w:pPr>
        <w:jc w:val="center"/>
        <w:spacing w:before="0" w:after="200" w:line="276" w:lineRule="auto"/>
      </w:pPr>
      <w:r>
        <w:rPr>
          <w:rFonts w:ascii="Calibri" w:hAnsi="Calibri" w:cs="Calibri"/>
          <w:color w:val="202020"/>
          <w:sz w:val="24"/>
          <w:szCs w:val="24"/>
        </w:rPr>
        <w:t xml:space="preserve">Sistema Integrado de Control y Monitoreo de Activos</w:t>
      </w:r>
    </w:p>
    <w:p>
      <w:pPr>
        <w:jc w:val="center"/>
        <w:spacing w:before="0" w:after="100" w:line="276" w:lineRule="auto"/>
      </w:pPr>
      <w:r>
        <w:rPr>
          <w:rFonts w:ascii="Calibri" w:hAnsi="Calibri" w:cs="Calibri"/>
          <w:b/>
          <w:color w:val="2E5C8A"/>
          <w:sz w:val="30"/>
          <w:szCs w:val="30"/>
        </w:rPr>
        <w:t xml:space="preserve">Documento de mockups</w:t>
      </w:r>
    </w:p>
    <w:p>
      <w:pPr>
        <w:jc w:val="center"/>
        <w:spacing w:before="0" w:after="120" w:line="276" w:lineRule="auto"/>
      </w:pPr>
      <w:r>
        <w:rPr>
          <w:rFonts w:ascii="Calibri" w:hAnsi="Calibri" w:cs="Calibri"/>
          <w:i/>
          <w:color w:val="595959"/>
          <w:sz w:val="21"/>
          <w:szCs w:val="21"/>
        </w:rPr>
        <w:t xml:space="preserve">Propuesta de interfaces web y móvil · Datacenter simulado · Un semestre</w:t>
      </w:r>
    </w:p>
    <w:p>
      <w:pPr>
        <w:spacing w:before="0" w:after="1600" w:line="276" w:lineRule="auto"/>
      </w:pPr>
      <w:r>
        <w:rPr>
          <w:rFonts w:ascii="Calibri" w:hAnsi="Calibri" w:cs="Calibri"/>
          <w:color w:val="202020"/>
          <w:sz w:val="22"/>
          <w:szCs w:val="22"/>
        </w:rPr>
        <w:t xml:space="preserve"/>
      </w:r>
    </w:p>
    <w:p>
      <w:pPr>
        <w:spacing w:before="0" w:after="60" w:line="276" w:lineRule="auto"/>
      </w:pPr>
      <w:r>
        <w:rPr>
          <w:rFonts w:ascii="Calibri" w:hAnsi="Calibri" w:cs="Calibri"/>
          <w:b/>
          <w:color w:val="202020"/>
          <w:sz w:val="22"/>
          <w:szCs w:val="22"/>
        </w:rPr>
        <w:t xml:space="preserve">Integrantes:</w:t>
      </w:r>
    </w:p>
    <w:p>
      <w:pPr>
        <w:ind w:left="600" w:hanging="240"/>
        <w:spacing w:before="0" w:after="40" w:line="276" w:lineRule="auto"/>
      </w:pPr>
      <w:r>
        <w:rPr>
          <w:rFonts w:ascii="Calibri" w:hAnsi="Calibri"/>
          <w:color w:val="202020"/>
          <w:sz w:val="22"/>
          <w:szCs w:val="22"/>
        </w:rPr>
        <w:t xml:space="preserve">•   Álvaro Antonio González Briones</w:t>
      </w:r>
    </w:p>
    <w:p>
      <w:pPr>
        <w:ind w:left="600" w:hanging="240"/>
        <w:spacing w:before="0" w:after="40" w:line="276" w:lineRule="auto"/>
      </w:pPr>
      <w:r>
        <w:rPr>
          <w:rFonts w:ascii="Calibri" w:hAnsi="Calibri"/>
          <w:color w:val="202020"/>
          <w:sz w:val="22"/>
          <w:szCs w:val="22"/>
        </w:rPr>
        <w:t xml:space="preserve">•   Claudio Alejandro Varas Toro</w:t>
      </w:r>
    </w:p>
    <w:p>
      <w:pPr>
        <w:ind w:left="600" w:hanging="240"/>
        <w:spacing w:before="0" w:after="40" w:line="276" w:lineRule="auto"/>
      </w:pPr>
      <w:r>
        <w:rPr>
          <w:rFonts w:ascii="Calibri" w:hAnsi="Calibri"/>
          <w:color w:val="202020"/>
          <w:sz w:val="22"/>
          <w:szCs w:val="22"/>
        </w:rPr>
        <w:t xml:space="preserve">•   Fidel Argenis Rodríguez Prieto</w:t>
      </w:r>
    </w:p>
    <w:p>
      <w:pPr>
        <w:spacing w:before="0" w:after="20" w:line="276" w:lineRule="auto"/>
      </w:pPr>
      <w:r>
        <w:rPr>
          <w:rFonts w:ascii="Calibri" w:hAnsi="Calibri" w:cs="Calibri"/>
          <w:b/>
          <w:color w:val="202020"/>
          <w:sz w:val="22"/>
          <w:szCs w:val="22"/>
        </w:rPr>
        <w:t xml:space="preserve">Sección: </w:t>
      </w:r>
      <w:r>
        <w:rPr>
          <w:rFonts w:ascii="Calibri" w:hAnsi="Calibri" w:cs="Calibri"/>
          <w:color w:val="202020"/>
          <w:sz w:val="22"/>
          <w:szCs w:val="22"/>
        </w:rPr>
        <w:t xml:space="preserve">001V</w:t>
      </w:r>
    </w:p>
    <w:p>
      <w:pPr>
        <w:spacing w:before="0" w:after="20" w:line="276" w:lineRule="auto"/>
      </w:pPr>
      <w:r>
        <w:rPr>
          <w:rFonts w:ascii="Calibri" w:hAnsi="Calibri" w:cs="Calibri"/>
          <w:b/>
          <w:color w:val="202020"/>
          <w:sz w:val="22"/>
          <w:szCs w:val="22"/>
        </w:rPr>
        <w:t xml:space="preserve">Docente: </w:t>
      </w:r>
      <w:r>
        <w:rPr>
          <w:rFonts w:ascii="Calibri" w:hAnsi="Calibri" w:cs="Calibri"/>
          <w:color w:val="202020"/>
          <w:sz w:val="22"/>
          <w:szCs w:val="22"/>
        </w:rPr>
        <w:t xml:space="preserve">Luis Bravo</w:t>
      </w:r>
    </w:p>
    <w:p>
      <w:pPr>
        <w:spacing w:before="0" w:after="20" w:line="276" w:lineRule="auto"/>
      </w:pPr>
      <w:r>
        <w:rPr>
          <w:rFonts w:ascii="Calibri" w:hAnsi="Calibri" w:cs="Calibri"/>
          <w:b/>
          <w:color w:val="202020"/>
          <w:sz w:val="22"/>
          <w:szCs w:val="22"/>
        </w:rPr>
        <w:t xml:space="preserve">Sede/Campus: </w:t>
      </w:r>
      <w:r>
        <w:rPr>
          <w:rFonts w:ascii="Calibri" w:hAnsi="Calibri" w:cs="Calibri"/>
          <w:color w:val="202020"/>
          <w:sz w:val="22"/>
          <w:szCs w:val="22"/>
        </w:rPr>
        <w:t xml:space="preserve">Plaza Oeste</w:t>
      </w:r>
    </w:p>
    <w:p>
      <w:pPr>
        <w:spacing w:before="0" w:after="20" w:line="276" w:lineRule="auto"/>
      </w:pPr>
      <w:r>
        <w:rPr>
          <w:rFonts w:ascii="Calibri" w:hAnsi="Calibri" w:cs="Calibri"/>
          <w:b/>
          <w:color w:val="202020"/>
          <w:sz w:val="22"/>
          <w:szCs w:val="22"/>
        </w:rPr>
        <w:t xml:space="preserve">Versión: </w:t>
      </w:r>
      <w:r>
        <w:rPr>
          <w:rFonts w:ascii="Calibri" w:hAnsi="Calibri" w:cs="Calibri"/>
          <w:color w:val="202020"/>
          <w:sz w:val="22"/>
          <w:szCs w:val="22"/>
        </w:rPr>
        <w:t xml:space="preserve">1.2</w:t>
      </w:r>
    </w:p>
    <w:p>
      <w:pPr>
        <w:spacing w:before="0" w:after="20" w:line="276" w:lineRule="auto"/>
      </w:pPr>
      <w:r>
        <w:rPr>
          <w:rFonts w:ascii="Calibri" w:hAnsi="Calibri" w:cs="Calibri"/>
          <w:b/>
          <w:color w:val="202020"/>
          <w:sz w:val="22"/>
          <w:szCs w:val="22"/>
        </w:rPr>
        <w:t xml:space="preserve">Fecha de entrega: </w:t>
      </w:r>
      <w:r>
        <w:rPr>
          <w:rFonts w:ascii="Calibri" w:hAnsi="Calibri" w:cs="Calibri"/>
          <w:color w:val="202020"/>
          <w:sz w:val="22"/>
          <w:szCs w:val="22"/>
        </w:rPr>
        <w:t xml:space="preserve">septiembre de 2026</w:t>
      </w:r>
    </w:p>
    <w:p>
      <w:pPr>
        <w:spacing w:before="0" w:after="200" w:line="276" w:lineRule="auto"/>
      </w:pPr>
      <w:r>
        <w:rPr>
          <w:rFonts w:ascii="Calibri" w:hAnsi="Calibri" w:cs="Calibri"/>
          <w:color w:val="202020"/>
          <w:sz w:val="22"/>
          <w:szCs w:val="22"/>
        </w:rPr>
        <w:t xml:space="preserve"/>
      </w:r>
    </w:p>
    <w:p>
      <w:pPr>
        <w:spacing w:before="0" w:after="0" w:line="276" w:lineRule="auto"/>
      </w:pPr>
      <w:r>
        <w:rPr>
          <w:rFonts w:ascii="Calibri" w:hAnsi="Calibri" w:cs="Calibri"/>
          <w:i/>
          <w:color w:val="595959"/>
          <w:sz w:val="20"/>
          <w:szCs w:val="20"/>
        </w:rPr>
        <w:t xml:space="preserve">Incluye 12 vistas web y cuatro vistas móviles agrupadas en dos láminas. Los datos, personas operativas y fechas mostrados son ejemplos de demostración. No corresponde a capturas de un sistema implementado.</w:t>
      </w:r>
    </w:p>
    <w:p>
      <w:r>
        <w:br w:type="page"/>
      </w:r>
    </w:p>
    <w:p>
      <w:pPr>
        <w:pStyle w:val="Heading1"/>
      </w:pPr>
      <w:r>
        <w:t>Índice</w:t>
      </w:r>
    </w:p>
    <w:p>
      <w:r>
        <w:fldChar w:fldCharType="begin"/>
        <w:instrText xml:space="preserve"> TOC \o "1-3" \h \z \u </w:instrText>
        <w:fldChar w:fldCharType="separate"/>
        <w:t>Actualiza este campo en Word para generar el índice.</w:t>
        <w:fldChar w:fldCharType="end"/>
      </w:r>
    </w:p>
    <w:p>
      <w:r>
        <w:br w:type="page"/>
      </w:r>
    </w:p>
    <w:p>
      <w:pPr>
        <w:pStyle w:val="Heading1"/>
        <w:spacing w:after="200" w:before="400"/>
      </w:pPr>
      <w:r>
        <w:t xml:space="preserve">Registro de cambios respecto a la versión 1.0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 elimina el recorrido por código QR en todas las pantallas: MW-05 ya no incluye "Ver QR" ni el texto de identificador QR; MM-01 ya no incluye "Escanear QR". La consulta de activos se realiza por búsqueda.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 elimina la pantalla MW-13 (Consulta de auditoría): el módulo de auditoría general queda fuera del alcance de SICMA. El ítem "Auditoría" se retira del menú lateral en todas las pantallas.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MW-12 (Administración e integraciones) reemplaza el botón "Salud y respaldo" por "Salud del sistema" (se retira el respaldo lógico del alcance) y agrega una fila de integración "Power Automate" con estado "Agendamiento activo" y acción "Ver notificaciones".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 actualiza la trazabilidad de MW-12, retirando las referencias a CU-28, CU-29 y CU-30.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 actualiza la sección de coherencia con decisiones adoptadas, retirando las menciones a QR obligatorio y a auditoría.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 corrige la trazabilidad de MW-01: ya no cita 'sesion' ni 'recuperacion_clave' como tablas. El diagrama de clases v1.1 aclara que estos son mecanismos de Django, sin tabla propia en SICMA.</w:t>
      </w:r>
    </w:p>
    <w:p>
      <w:pPr>
        <w:spacing w:after="150"/>
      </w:pPr>
      <w:r>
        <w:t xml:space="preserve">Como resultado, el documento pasa de 13 a 12 vistas web (se retira MW-13); las cuatro vistas móviles se mantienen.</w:t>
      </w:r>
    </w:p>
    <w:p>
      <w:pPr>
        <w:pStyle w:val="Heading1"/>
        <w:spacing w:after="200" w:before="400"/>
      </w:pPr>
      <w:r>
        <w:t xml:space="preserve">1. Alcance y criterios de interfaz</w:t>
      </w:r>
    </w:p>
    <w:p>
      <w:pPr>
        <w:spacing w:after="150"/>
      </w:pPr>
      <w:r>
        <w:t xml:space="preserve">Los mockups traducen los requisitos, casos de uso, clases, actividades y modelo de datos a pantallas propuestas. Las vistas representan los recorridos principales; los formularios y variantes complementarios se especifican bajo cada imagen. El documento no es un prototipo interactivo ni reemplaza las reglas del servidor.</w:t>
      </w:r>
    </w:p>
    <w:p>
      <w:pPr>
        <w:spacing w:after="150"/>
      </w:pPr>
      <w:r>
        <w:t xml:space="preserve">Web operativa y móvil de consulta. La web permite administrar y ejecutar acciones según rol. El móvil consulta activos, alertas e intervenciones mediante búsqueda, con autenticación. No habilita cambios de negocio. La identidad física y el usuario de la aplicación se mantienen separados.</w:t>
      </w:r>
    </w:p>
    <w:p>
      <w:pPr>
        <w:spacing w:after="150"/>
      </w:pPr>
      <w:r>
        <w:t xml:space="preserve">Convenciones visuales. Azul oscuro identifica navegación; verde azulado, acciones principales. Las alertas incluyen texto de estado y severidad para no depender solo del color. Etiquetas visibles identifican campos; * indica obligatoriedad. Fechas de pantalla usan hora local de Chile; la persistencia mantiene UTC.</w:t>
      </w:r>
    </w:p>
    <w:p>
      <w:pPr>
        <w:spacing w:after="150"/>
      </w:pPr>
      <w:r>
        <w:t xml:space="preserve">Permisos. La navegación lateral de los bocetos muestra el mapa general como referencia de diseño; la implementación debe ocultar destinos no autorizados. El rol mostrado representa el actor del escenario, no otorga acceso al resto de las secciones dibujadas. La API valida cada acción y cada objeto solicitado.</w:t>
      </w:r>
    </w:p>
    <w:p>
      <w:pPr>
        <w:spacing w:after="150"/>
      </w:pPr>
      <w:r>
        <w:t xml:space="preserve">Accesibilidad propuesta. Mantener foco visible y navegación por teclado, orden de lectura lógico, mensajes vinculados a su campo y botones con nombre descriptivo. En móvil, usar controles suficientemente separados y permitir volver sin perder filtros. Confirmar legibilidad y uso con los tres integrantes antes de implementar.</w:t>
      </w:r>
    </w:p>
    <w:p>
      <w:pPr>
        <w:spacing w:after="150"/>
      </w:pPr>
      <w:r>
        <w:t xml:space="preserve">Estados transversales. Toda consulta distingue carga, vacío, error y datos desactualizados. Toda escritura muestra resultado y evita doble envío. Cancelar cambios solicita confirmación cuando hay información sin guardar. Ocultar un botón no reemplaza la autorización en servidor.</w:t>
      </w:r>
    </w:p>
    <w:p>
      <w:pPr>
        <w:pStyle w:val="Heading1"/>
        <w:spacing w:after="200" w:before="400"/>
      </w:pPr>
      <w:r>
        <w:t xml:space="preserve">MW-01 · Inicio de sesión</w:t>
      </w:r>
    </w:p>
    <w:p>
      <w:pPr>
        <w:spacing w:after="100"/>
      </w:pPr>
      <w:r>
        <w:drawing>
          <wp:inline distT="0" distB="0" distL="0" distR="0">
            <wp:extent cx="58674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</w:pPr>
      <w:r>
        <w:rPr>
          <w:i/>
          <w:iCs/>
          <w:color w:val="595959"/>
        </w:rPr>
        <w:t xml:space="preserve">Figura MW-01. Propuesta visual de elaboración propia.</w:t>
      </w:r>
    </w:p>
    <w:p>
      <w:pPr>
        <w:spacing w:after="100"/>
      </w:pPr>
      <w:r>
        <w:rPr>
          <w:b/>
          <w:bCs/>
        </w:rPr>
        <w:t xml:space="preserve">Permisos: </w:t>
      </w:r>
      <w:r>
        <w:t xml:space="preserve">Todos los usuarios activos.</w:t>
      </w:r>
    </w:p>
    <w:p>
      <w:pPr>
        <w:spacing w:after="100"/>
      </w:pPr>
      <w:r>
        <w:rPr>
          <w:b/>
          <w:bCs/>
        </w:rPr>
        <w:t xml:space="preserve">Comportamiento: </w:t>
      </w:r>
      <w:r>
        <w:t xml:space="preserve">Ingresar valida credenciales y abre el resumen según el rol. La recuperación, si se implementa (Should), solicita correo y entrega una respuesta genérica.</w:t>
      </w:r>
    </w:p>
    <w:p>
      <w:pPr>
        <w:spacing w:after="100"/>
      </w:pPr>
      <w:r>
        <w:rPr>
          <w:b/>
          <w:bCs/>
        </w:rPr>
        <w:t xml:space="preserve">Validaciones y variantes: </w:t>
      </w:r>
      <w:r>
        <w:t xml:space="preserve">Credenciales inválidas: mensaje genérico. Usuario desactivado o sesión revocada: bloquear acceso. Recuperación: enlace de un solo uso, 30 minutos; no revelar si el correo existe.</w:t>
      </w:r>
    </w:p>
    <w:p>
      <w:pPr>
        <w:spacing w:after="100"/>
      </w:pPr>
      <w:r>
        <w:rPr>
          <w:b/>
          <w:bCs/>
        </w:rPr>
        <w:t xml:space="preserve">Trazabilidad: </w:t>
      </w:r>
      <w:r>
        <w:t xml:space="preserve">CU-01 a CU-03; usuario (incluye rol). Sesión (JWT) y recuperación de contraseña no se modelan como tablas propias de SICMA.</w:t>
      </w:r>
    </w:p>
    <w:p>
      <w:pPr>
        <w:pStyle w:val="Heading1"/>
        <w:spacing w:after="200" w:before="400"/>
      </w:pPr>
      <w:r>
        <w:t xml:space="preserve">MW-02 · Resumen operativo</w:t>
      </w:r>
    </w:p>
    <w:p>
      <w:pPr>
        <w:spacing w:after="100"/>
      </w:pPr>
      <w:r>
        <w:drawing>
          <wp:inline distT="0" distB="0" distL="0" distR="0">
            <wp:extent cx="58674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</w:pPr>
      <w:r>
        <w:rPr>
          <w:i/>
          <w:iCs/>
          <w:color w:val="595959"/>
        </w:rPr>
        <w:t xml:space="preserve">Figura MW-02. Propuesta visual de elaboración propia.</w:t>
      </w:r>
    </w:p>
    <w:p>
      <w:pPr>
        <w:spacing w:after="100"/>
      </w:pPr>
      <w:r>
        <w:rPr>
          <w:b/>
          <w:bCs/>
        </w:rPr>
        <w:t xml:space="preserve">Permisos: </w:t>
      </w:r>
      <w:r>
        <w:t xml:space="preserve">Consulta según permisos del usuario.</w:t>
      </w:r>
    </w:p>
    <w:p>
      <w:pPr>
        <w:spacing w:after="100"/>
      </w:pPr>
      <w:r>
        <w:rPr>
          <w:b/>
          <w:bCs/>
        </w:rPr>
        <w:t xml:space="preserve">Comportamiento: </w:t>
      </w:r>
      <w:r>
        <w:t xml:space="preserve">Las tarjetas llevan a activos, alertas e intervenciones filtradas. El inventario vigente se distingue de eventos de un periodo.</w:t>
      </w:r>
    </w:p>
    <w:p>
      <w:pPr>
        <w:spacing w:after="100"/>
      </w:pPr>
      <w:r>
        <w:rPr>
          <w:b/>
          <w:bCs/>
        </w:rPr>
        <w:t xml:space="preserve">Validaciones y variantes: </w:t>
      </w:r>
      <w:r>
        <w:t xml:space="preserve">Sin datos: mostrar Sin registros, no ceros inferidos. Una dependencia sin señal muestra No disponible y la hora del último dato válido.</w:t>
      </w:r>
    </w:p>
    <w:p>
      <w:pPr>
        <w:spacing w:after="100"/>
      </w:pPr>
      <w:r>
        <w:rPr>
          <w:b/>
          <w:bCs/>
        </w:rPr>
        <w:t xml:space="preserve">Trazabilidad: </w:t>
      </w:r>
      <w:r>
        <w:t xml:space="preserve">CU-05, CU-09, CU-12 y CU-20; activo, alerta, intervencion.</w:t>
      </w:r>
    </w:p>
    <w:p>
      <w:pPr>
        <w:pStyle w:val="Heading1"/>
        <w:spacing w:after="200" w:before="400"/>
      </w:pPr>
      <w:r>
        <w:t xml:space="preserve">MW-03 · Listado de activos</w:t>
      </w:r>
    </w:p>
    <w:p>
      <w:pPr>
        <w:spacing w:after="100"/>
      </w:pPr>
      <w:r>
        <w:drawing>
          <wp:inline distT="0" distB="0" distL="0" distR="0">
            <wp:extent cx="58674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</w:pPr>
      <w:r>
        <w:rPr>
          <w:i/>
          <w:iCs/>
          <w:color w:val="595959"/>
        </w:rPr>
        <w:t xml:space="preserve">Figura MW-03. Propuesta visual de elaboración propia.</w:t>
      </w:r>
    </w:p>
    <w:p>
      <w:pPr>
        <w:spacing w:after="100"/>
      </w:pPr>
      <w:r>
        <w:rPr>
          <w:b/>
          <w:bCs/>
        </w:rPr>
        <w:t xml:space="preserve">Permisos: </w:t>
      </w:r>
      <w:r>
        <w:t xml:space="preserve">Administrador y Técnico gestionan. Jefatura y Auditor consultan.</w:t>
      </w:r>
    </w:p>
    <w:p>
      <w:pPr>
        <w:spacing w:after="100"/>
      </w:pPr>
      <w:r>
        <w:rPr>
          <w:b/>
          <w:bCs/>
        </w:rPr>
        <w:t xml:space="preserve">Comportamiento: </w:t>
      </w:r>
      <w:r>
        <w:t xml:space="preserve">Buscar combina filtros de ubicación, estado, tipo y criticidad. Abrir lleva a la ficha; Nuevo abre el formulario. Mantener filtros al volver.</w:t>
      </w:r>
    </w:p>
    <w:p>
      <w:pPr>
        <w:spacing w:after="100"/>
      </w:pPr>
      <w:r>
        <w:rPr>
          <w:b/>
          <w:bCs/>
        </w:rPr>
        <w:t xml:space="preserve">Validaciones y variantes: </w:t>
      </w:r>
      <w:r>
        <w:t xml:space="preserve">Sin coincidencias: permitir limpiar filtros. Error de carga: conservar filtros y ofrecer Reintentar. Ocultar Nuevo en perfiles de consulta y comprobar autorización en servidor.</w:t>
      </w:r>
    </w:p>
    <w:p>
      <w:pPr>
        <w:spacing w:after="100"/>
      </w:pPr>
      <w:r>
        <w:rPr>
          <w:b/>
          <w:bCs/>
        </w:rPr>
        <w:t xml:space="preserve">Trazabilidad: </w:t>
      </w:r>
      <w:r>
        <w:t xml:space="preserve">CU-04 a CU-07; activo y ubicacion.</w:t>
      </w:r>
    </w:p>
    <w:p>
      <w:pPr>
        <w:pStyle w:val="Heading1"/>
        <w:spacing w:after="200" w:before="400"/>
      </w:pPr>
      <w:r>
        <w:t xml:space="preserve">MW-04 · Alta y edición de activo</w:t>
      </w:r>
    </w:p>
    <w:p>
      <w:pPr>
        <w:spacing w:after="100"/>
      </w:pPr>
      <w:r>
        <w:drawing>
          <wp:inline distT="0" distB="0" distL="0" distR="0">
            <wp:extent cx="58674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</w:pPr>
      <w:r>
        <w:rPr>
          <w:i/>
          <w:iCs/>
          <w:color w:val="595959"/>
        </w:rPr>
        <w:t xml:space="preserve">Figura MW-04. Propuesta visual de elaboración propia.</w:t>
      </w:r>
    </w:p>
    <w:p>
      <w:pPr>
        <w:spacing w:after="100"/>
      </w:pPr>
      <w:r>
        <w:rPr>
          <w:b/>
          <w:bCs/>
        </w:rPr>
        <w:t xml:space="preserve">Permisos: </w:t>
      </w:r>
      <w:r>
        <w:t xml:space="preserve">Administrador y Técnico.</w:t>
      </w:r>
    </w:p>
    <w:p>
      <w:pPr>
        <w:spacing w:after="100"/>
      </w:pPr>
      <w:r>
        <w:rPr>
          <w:b/>
          <w:bCs/>
        </w:rPr>
        <w:t xml:space="preserve">Comportamiento: </w:t>
      </w:r>
      <w:r>
        <w:t xml:space="preserve">Código, nombre, tipo, marca, modelo, serie, ubicación, estado, criticidad y fecha son obligatorios. Marca/modelo y estado/criticidad se muestran agrupados en el boceto, pero se capturan en controles independientes.</w:t>
      </w:r>
    </w:p>
    <w:p>
      <w:pPr>
        <w:spacing w:after="100"/>
      </w:pPr>
      <w:r>
        <w:rPr>
          <w:b/>
          <w:bCs/>
        </w:rPr>
        <w:t xml:space="preserve">Validaciones y variantes: </w:t>
      </w:r>
      <w:r>
        <w:t xml:space="preserve">Código o serie repetidos: indicar el campo. Posición ocupada: impedir guardar. Edición concurrente: informar conflicto y recargar versión. Cancelar vuelve al listado sin guardar; advertir cambios pendientes.</w:t>
      </w:r>
    </w:p>
    <w:p>
      <w:pPr>
        <w:spacing w:after="100"/>
      </w:pPr>
      <w:r>
        <w:rPr>
          <w:b/>
          <w:bCs/>
        </w:rPr>
        <w:t xml:space="preserve">Trazabilidad: </w:t>
      </w:r>
      <w:r>
        <w:t xml:space="preserve">CU-04, CU-06; activo, historial_activo y ubicacion.</w:t>
      </w:r>
    </w:p>
    <w:p>
      <w:pPr>
        <w:pStyle w:val="Heading1"/>
        <w:spacing w:after="200" w:before="400"/>
      </w:pPr>
      <w:r>
        <w:t xml:space="preserve">MW-05 · Ficha e historial</w:t>
      </w:r>
    </w:p>
    <w:p>
      <w:pPr>
        <w:spacing w:after="100"/>
      </w:pPr>
      <w:r>
        <w:drawing>
          <wp:inline distT="0" distB="0" distL="0" distR="0">
            <wp:extent cx="58674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</w:pPr>
      <w:r>
        <w:rPr>
          <w:i/>
          <w:iCs/>
          <w:color w:val="595959"/>
        </w:rPr>
        <w:t xml:space="preserve">Figura MW-05. Propuesta visual de elaboración propia.</w:t>
      </w:r>
    </w:p>
    <w:p>
      <w:pPr>
        <w:spacing w:after="100"/>
      </w:pPr>
      <w:r>
        <w:rPr>
          <w:b/>
          <w:bCs/>
        </w:rPr>
        <w:t xml:space="preserve">Permisos: </w:t>
      </w:r>
      <w:r>
        <w:t xml:space="preserve">Lectura por roles autorizados; cambios solo Administrador y Técnico.</w:t>
      </w:r>
    </w:p>
    <w:p>
      <w:pPr>
        <w:spacing w:after="100"/>
      </w:pPr>
      <w:r>
        <w:rPr>
          <w:b/>
          <w:bCs/>
        </w:rPr>
        <w:t xml:space="preserve">Comportamiento: </w:t>
      </w:r>
      <w:r>
        <w:t xml:space="preserve">El historial conserva versiones y autores. Retirar exige confirmación y motivo. Adjuntos del activo se añaden solo si se implementa Could.</w:t>
      </w:r>
    </w:p>
    <w:p>
      <w:pPr>
        <w:spacing w:after="100"/>
      </w:pPr>
      <w:r>
        <w:rPr>
          <w:b/>
          <w:bCs/>
        </w:rPr>
        <w:t xml:space="preserve">Validaciones y variantes: </w:t>
      </w:r>
      <w:r>
        <w:t xml:space="preserve">Bloquear retiro con trabajo aprobado o en curso. Retirado no se reactiva. Accesos del entorno corresponden a ubicación histórica y no prueban manipulación del activo.</w:t>
      </w:r>
    </w:p>
    <w:p>
      <w:pPr>
        <w:spacing w:after="100"/>
      </w:pPr>
      <w:r>
        <w:rPr>
          <w:b/>
          <w:bCs/>
        </w:rPr>
        <w:t xml:space="preserve">Trazabilidad: </w:t>
      </w:r>
      <w:r>
        <w:t xml:space="preserve">CU-05 a CU-07; activo, historial_activo, archivo_adjunto.</w:t>
      </w:r>
    </w:p>
    <w:p>
      <w:pPr>
        <w:pStyle w:val="Heading1"/>
        <w:spacing w:after="200" w:before="400"/>
      </w:pPr>
      <w:r>
        <w:t xml:space="preserve">MW-06 · Mediciones y salud de sensores</w:t>
      </w:r>
    </w:p>
    <w:p>
      <w:pPr>
        <w:spacing w:after="100"/>
      </w:pPr>
      <w:r>
        <w:drawing>
          <wp:inline distT="0" distB="0" distL="0" distR="0">
            <wp:extent cx="58674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</w:pPr>
      <w:r>
        <w:rPr>
          <w:i/>
          <w:iCs/>
          <w:color w:val="595959"/>
        </w:rPr>
        <w:t xml:space="preserve">Figura MW-06. Propuesta visual de elaboración propia.</w:t>
      </w:r>
    </w:p>
    <w:p>
      <w:pPr>
        <w:spacing w:after="100"/>
      </w:pPr>
      <w:r>
        <w:rPr>
          <w:b/>
          <w:bCs/>
        </w:rPr>
        <w:t xml:space="preserve">Permisos: </w:t>
      </w:r>
      <w:r>
        <w:t xml:space="preserve">Consulta según rol; configuración de sensores y umbrales por Administrador.</w:t>
      </w:r>
    </w:p>
    <w:p>
      <w:pPr>
        <w:spacing w:after="100"/>
      </w:pPr>
      <w:r>
        <w:rPr>
          <w:b/>
          <w:bCs/>
        </w:rPr>
        <w:t xml:space="preserve">Comportamiento: </w:t>
      </w:r>
      <w:r>
        <w:t xml:space="preserve">Seleccionar ubicación y periodo; abrir sensor para lecturas históricas. Administrador puede registrar sensor y versionar mínimos/máximos por variable y ubicación.</w:t>
      </w:r>
    </w:p>
    <w:p>
      <w:pPr>
        <w:spacing w:after="100"/>
      </w:pPr>
      <w:r>
        <w:rPr>
          <w:b/>
          <w:bCs/>
        </w:rPr>
        <w:t xml:space="preserve">Validaciones y variantes: </w:t>
      </w:r>
      <w:r>
        <w:t xml:space="preserve">Marcar origen simulado y hora de captura. Tras 90 segundos sin señal, no presentar el último valor como actual. Rechazar mínimos mayores o iguales al máximo. Valores visibles son datos de demostración.</w:t>
      </w:r>
    </w:p>
    <w:p>
      <w:pPr>
        <w:spacing w:after="100"/>
      </w:pPr>
      <w:r>
        <w:rPr>
          <w:b/>
          <w:bCs/>
        </w:rPr>
        <w:t xml:space="preserve">Trazabilidad: </w:t>
      </w:r>
      <w:r>
        <w:t xml:space="preserve">CU-08 a CU-11, CU-19; sensor, medicion, umbral_ambiental.</w:t>
      </w:r>
    </w:p>
    <w:p>
      <w:pPr>
        <w:pStyle w:val="Heading1"/>
        <w:spacing w:after="200" w:before="400"/>
      </w:pPr>
      <w:r>
        <w:t xml:space="preserve">MW-07 · Detalle y atención de alerta</w:t>
      </w:r>
    </w:p>
    <w:p>
      <w:pPr>
        <w:spacing w:after="100"/>
      </w:pPr>
      <w:r>
        <w:drawing>
          <wp:inline distT="0" distB="0" distL="0" distR="0">
            <wp:extent cx="58674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</w:pPr>
      <w:r>
        <w:rPr>
          <w:i/>
          <w:iCs/>
          <w:color w:val="595959"/>
        </w:rPr>
        <w:t xml:space="preserve">Figura MW-07. Propuesta visual de elaboración propia.</w:t>
      </w:r>
    </w:p>
    <w:p>
      <w:pPr>
        <w:spacing w:after="100"/>
      </w:pPr>
      <w:r>
        <w:rPr>
          <w:b/>
          <w:bCs/>
        </w:rPr>
        <w:t xml:space="preserve">Permisos: </w:t>
      </w:r>
      <w:r>
        <w:t xml:space="preserve">Administrador y Técnico atienden; demás roles autorizados consultan.</w:t>
      </w:r>
    </w:p>
    <w:p>
      <w:pPr>
        <w:spacing w:after="100"/>
      </w:pPr>
      <w:r>
        <w:rPr>
          <w:b/>
          <w:bCs/>
        </w:rPr>
        <w:t xml:space="preserve">Comportamiento: </w:t>
      </w:r>
      <w:r>
        <w:t xml:space="preserve">El listado previo filtra por severidad, estado, ubicación y periodo. Reconocer registra autor, hora y nota. Cerrar abre causa, acción y resultado obligatorios; admite Nueva o Reconocida.</w:t>
      </w:r>
    </w:p>
    <w:p>
      <w:pPr>
        <w:spacing w:after="100"/>
      </w:pPr>
      <w:r>
        <w:rPr>
          <w:b/>
          <w:bCs/>
        </w:rPr>
        <w:t xml:space="preserve">Validaciones y variantes: </w:t>
      </w:r>
      <w:r>
        <w:t xml:space="preserve">Condición persistente activa: cierre deshabilitado con explicación. Recuperación no cierra automáticamente. Conservar evidencia y versión de regla. Un cierre concurrente obliga a refrescar la ficha.</w:t>
      </w:r>
    </w:p>
    <w:p>
      <w:pPr>
        <w:spacing w:after="100"/>
      </w:pPr>
      <w:r>
        <w:rPr>
          <w:b/>
          <w:bCs/>
        </w:rPr>
        <w:t xml:space="preserve">Trazabilidad: </w:t>
      </w:r>
      <w:r>
        <w:t xml:space="preserve">CU-12 a CU-15; alerta, evidencia_alerta, regla_alerta y notificacion.</w:t>
      </w:r>
    </w:p>
    <w:p>
      <w:pPr>
        <w:pStyle w:val="Heading1"/>
        <w:spacing w:after="200" w:before="400"/>
      </w:pPr>
      <w:r>
        <w:t xml:space="preserve">MW-08 · Eventos, personas y permisos físicos</w:t>
      </w:r>
    </w:p>
    <w:p>
      <w:pPr>
        <w:spacing w:after="100"/>
      </w:pPr>
      <w:r>
        <w:drawing>
          <wp:inline distT="0" distB="0" distL="0" distR="0">
            <wp:extent cx="58674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</w:pPr>
      <w:r>
        <w:rPr>
          <w:i/>
          <w:iCs/>
          <w:color w:val="595959"/>
        </w:rPr>
        <w:t xml:space="preserve">Figura MW-08. Propuesta visual de elaboración propia.</w:t>
      </w:r>
    </w:p>
    <w:p>
      <w:pPr>
        <w:spacing w:after="100"/>
      </w:pPr>
      <w:r>
        <w:rPr>
          <w:b/>
          <w:bCs/>
        </w:rPr>
        <w:t xml:space="preserve">Permisos: </w:t>
      </w:r>
      <w:r>
        <w:t xml:space="preserve">Eventos de solo lectura. Administrador administra personas, puntos y permisos.</w:t>
      </w:r>
    </w:p>
    <w:p>
      <w:pPr>
        <w:spacing w:after="100"/>
      </w:pPr>
      <w:r>
        <w:rPr>
          <w:b/>
          <w:bCs/>
        </w:rPr>
        <w:t xml:space="preserve">Comportamiento: </w:t>
      </w:r>
      <w:r>
        <w:t xml:space="preserve">Personas y permisos abre identidad externa, estado activo, punto, días, tramo horario y vigencia. Permitir revocación sin borrar el historial. Un intento siempre identifica el punto.</w:t>
      </w:r>
    </w:p>
    <w:p>
      <w:pPr>
        <w:spacing w:after="100"/>
      </w:pPr>
      <w:r>
        <w:rPr>
          <w:b/>
          <w:bCs/>
        </w:rPr>
        <w:t xml:space="preserve">Validaciones y variantes: </w:t>
      </w:r>
      <w:r>
        <w:t xml:space="preserve">NoCoincide o fallo técnico no concede acceso. Permiso con fin anterior al inicio: rechazar; dividir horarios que crucen medianoche. La interfaz no acciona cerraduras ni recibe plantillas de huella.</w:t>
      </w:r>
    </w:p>
    <w:p>
      <w:pPr>
        <w:spacing w:after="100"/>
      </w:pPr>
      <w:r>
        <w:rPr>
          <w:b/>
          <w:bCs/>
        </w:rPr>
        <w:t xml:space="preserve">Trazabilidad: </w:t>
      </w:r>
      <w:r>
        <w:t xml:space="preserve">CU-16 a CU-19; persona_autorizada, permiso_acceso, permiso_dia, evento_acceso.</w:t>
      </w:r>
    </w:p>
    <w:p>
      <w:pPr>
        <w:pStyle w:val="Heading1"/>
        <w:spacing w:after="200" w:before="400"/>
      </w:pPr>
      <w:r>
        <w:t xml:space="preserve">MW-09 · Listado y planificación de intervenciones</w:t>
      </w:r>
    </w:p>
    <w:p>
      <w:pPr>
        <w:spacing w:after="100"/>
      </w:pPr>
      <w:r>
        <w:drawing>
          <wp:inline distT="0" distB="0" distL="0" distR="0">
            <wp:extent cx="58674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</w:pPr>
      <w:r>
        <w:rPr>
          <w:i/>
          <w:iCs/>
          <w:color w:val="595959"/>
        </w:rPr>
        <w:t xml:space="preserve">Figura MW-09. Propuesta visual de elaboración propia.</w:t>
      </w:r>
    </w:p>
    <w:p>
      <w:pPr>
        <w:spacing w:after="100"/>
      </w:pPr>
      <w:r>
        <w:rPr>
          <w:b/>
          <w:bCs/>
        </w:rPr>
        <w:t xml:space="preserve">Permisos: </w:t>
      </w:r>
      <w:r>
        <w:t xml:space="preserve">Técnico solicita y ejecuta las asignadas; Jefatura decide; Auditor consulta.</w:t>
      </w:r>
    </w:p>
    <w:p>
      <w:pPr>
        <w:spacing w:after="100"/>
      </w:pPr>
      <w:r>
        <w:rPr>
          <w:b/>
          <w:bCs/>
        </w:rPr>
        <w:t xml:space="preserve">Comportamiento: </w:t>
      </w:r>
      <w:r>
        <w:t xml:space="preserve">Nueva solicitud captura objetivo, descripción, impacto, plan de reversa, responsable, al menos un activo y fechas de inicio/fin. Detalle conserva decisiones, reserva y bitácora. El agendamiento y sus notificaciones se automatizan mediante Microsoft Forms/Power Automate.</w:t>
      </w:r>
    </w:p>
    <w:p>
      <w:pPr>
        <w:spacing w:after="100"/>
      </w:pPr>
      <w:r>
        <w:rPr>
          <w:b/>
          <w:bCs/>
        </w:rPr>
        <w:t xml:space="preserve">Validaciones y variantes: </w:t>
      </w:r>
      <w:r>
        <w:t xml:space="preserve">Fecha final debe superar inicio. Solicitante cancela Pendiente o CambiosSolicitados; Jefatura cancela Aprobada antes de iniciar. No ofrecer ejecución a técnicos no responsables.</w:t>
      </w:r>
    </w:p>
    <w:p>
      <w:pPr>
        <w:spacing w:after="100"/>
      </w:pPr>
      <w:r>
        <w:rPr>
          <w:b/>
          <w:bCs/>
        </w:rPr>
        <w:t xml:space="preserve">Trazabilidad: </w:t>
      </w:r>
      <w:r>
        <w:t xml:space="preserve">CU-20 a CU-23; intervencion, intervencion_activo y reserva_recurso.</w:t>
      </w:r>
    </w:p>
    <w:p>
      <w:pPr>
        <w:pStyle w:val="Heading1"/>
        <w:spacing w:after="200" w:before="400"/>
      </w:pPr>
      <w:r>
        <w:t xml:space="preserve">MW-10 · Aprobación y excepciones de ventana</w:t>
      </w:r>
    </w:p>
    <w:p>
      <w:pPr>
        <w:spacing w:after="100"/>
      </w:pPr>
      <w:r>
        <w:drawing>
          <wp:inline distT="0" distB="0" distL="0" distR="0">
            <wp:extent cx="58674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</w:pPr>
      <w:r>
        <w:rPr>
          <w:i/>
          <w:iCs/>
          <w:color w:val="595959"/>
        </w:rPr>
        <w:t xml:space="preserve">Figura MW-10. Propuesta visual de elaboración propia.</w:t>
      </w:r>
    </w:p>
    <w:p>
      <w:pPr>
        <w:spacing w:after="100"/>
      </w:pPr>
      <w:r>
        <w:rPr>
          <w:b/>
          <w:bCs/>
        </w:rPr>
        <w:t xml:space="preserve">Permisos: </w:t>
      </w:r>
      <w:r>
        <w:t xml:space="preserve">Jefatura.</w:t>
      </w:r>
    </w:p>
    <w:p>
      <w:pPr>
        <w:spacing w:after="100"/>
      </w:pPr>
      <w:r>
        <w:rPr>
          <w:b/>
          <w:bCs/>
        </w:rPr>
        <w:t xml:space="preserve">Comportamiento: </w:t>
      </w:r>
      <w:r>
        <w:t xml:space="preserve">Aprobar verifica recursos en servidor y crea reservas atómicamente. Pedir cambios devuelve la solicitud al Técnico. Autorizar excepción o extensión en el detalle captura motivo y periodo alternativo, con nueva validación.</w:t>
      </w:r>
    </w:p>
    <w:p>
      <w:pPr>
        <w:spacing w:after="100"/>
      </w:pPr>
      <w:r>
        <w:rPr>
          <w:b/>
          <w:bCs/>
        </w:rPr>
        <w:t xml:space="preserve">Validaciones y variantes: </w:t>
      </w:r>
      <w:r>
        <w:t xml:space="preserve">Solapamiento: mostrar recurso y ventana incompatible; no confirmar. Intervalo [inicio, fin): el término no habilita un inicio. Editar una aprobada vuelve a Pendiente y libera reservas.</w:t>
      </w:r>
    </w:p>
    <w:p>
      <w:pPr>
        <w:spacing w:after="100"/>
      </w:pPr>
      <w:r>
        <w:rPr>
          <w:b/>
          <w:bCs/>
        </w:rPr>
        <w:t xml:space="preserve">Trazabilidad: </w:t>
      </w:r>
      <w:r>
        <w:t xml:space="preserve">CU-21 y CU-22; decision_intervencion y reserva_recurso. El control de concurrencia se resuelve con el atributo de versión de intervencion, no con una tabla propia.</w:t>
      </w:r>
    </w:p>
    <w:p>
      <w:pPr>
        <w:pStyle w:val="Heading1"/>
        <w:spacing w:after="200" w:before="400"/>
      </w:pPr>
      <w:r>
        <w:t xml:space="preserve">MW-11 · Inicio, bitácora y finalización</w:t>
      </w:r>
    </w:p>
    <w:p>
      <w:pPr>
        <w:spacing w:after="100"/>
      </w:pPr>
      <w:r>
        <w:drawing>
          <wp:inline distT="0" distB="0" distL="0" distR="0">
            <wp:extent cx="58674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</w:pPr>
      <w:r>
        <w:rPr>
          <w:i/>
          <w:iCs/>
          <w:color w:val="595959"/>
        </w:rPr>
        <w:t xml:space="preserve">Figura MW-11. Propuesta visual de elaboración propia.</w:t>
      </w:r>
    </w:p>
    <w:p>
      <w:pPr>
        <w:spacing w:after="100"/>
      </w:pPr>
      <w:r>
        <w:rPr>
          <w:b/>
          <w:bCs/>
        </w:rPr>
        <w:t xml:space="preserve">Permisos: </w:t>
      </w:r>
      <w:r>
        <w:t xml:space="preserve">Solo el Técnico responsable inicia y termina.</w:t>
      </w:r>
    </w:p>
    <w:p>
      <w:pPr>
        <w:spacing w:after="100"/>
      </w:pPr>
      <w:r>
        <w:rPr>
          <w:b/>
          <w:bCs/>
        </w:rPr>
        <w:t xml:space="preserve">Comportamiento: </w:t>
      </w:r>
      <w:r>
        <w:t xml:space="preserve">Iniciar vuelve a validar estado, recursos y horario. EnEjecucion habilita Agregar entrada y adjuntos; Finalizar solicita resultado, incidentes y estado de cada activo, y termina como Ejecutada o Fallida.</w:t>
      </w:r>
    </w:p>
    <w:p>
      <w:pPr>
        <w:spacing w:after="100"/>
      </w:pPr>
      <w:r>
        <w:rPr>
          <w:b/>
          <w:bCs/>
        </w:rPr>
        <w:t xml:space="preserve">Validaciones y variantes: </w:t>
      </w:r>
      <w:r>
        <w:t xml:space="preserve">Antes o fuera de ventana: bloquear inicio y explicar. Superar el término registra desviación; no detiene físicamente el trabajo y conserva bloqueo del recurso. Una extensión requiere autorización de Jefatura.</w:t>
      </w:r>
    </w:p>
    <w:p>
      <w:pPr>
        <w:spacing w:after="100"/>
      </w:pPr>
      <w:r>
        <w:rPr>
          <w:b/>
          <w:bCs/>
        </w:rPr>
        <w:t xml:space="preserve">Trazabilidad: </w:t>
      </w:r>
      <w:r>
        <w:t xml:space="preserve">CU-22 y CU-23; entrada_bitacora, bitacora_activo e intervencion_activo.</w:t>
      </w:r>
    </w:p>
    <w:p>
      <w:pPr>
        <w:pStyle w:val="Heading1"/>
        <w:spacing w:after="200" w:before="400"/>
      </w:pPr>
      <w:r>
        <w:t xml:space="preserve">MW-12 · Administración, reglas e integraciones</w:t>
      </w:r>
    </w:p>
    <w:p>
      <w:pPr>
        <w:spacing w:after="100"/>
      </w:pPr>
      <w:r>
        <w:drawing>
          <wp:inline distT="0" distB="0" distL="0" distR="0">
            <wp:extent cx="58674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</w:pPr>
      <w:r>
        <w:rPr>
          <w:i/>
          <w:iCs/>
          <w:color w:val="595959"/>
        </w:rPr>
        <w:t xml:space="preserve">Figura MW-12. Propuesta visual de elaboración propia.</w:t>
      </w:r>
    </w:p>
    <w:p>
      <w:pPr>
        <w:spacing w:after="100"/>
      </w:pPr>
      <w:r>
        <w:rPr>
          <w:b/>
          <w:bCs/>
        </w:rPr>
        <w:t xml:space="preserve">Permisos: </w:t>
      </w:r>
      <w:r>
        <w:t xml:space="preserve">Administrador.</w:t>
      </w:r>
    </w:p>
    <w:p>
      <w:pPr>
        <w:spacing w:after="100"/>
      </w:pPr>
      <w:r>
        <w:rPr>
          <w:b/>
          <w:bCs/>
        </w:rPr>
        <w:t xml:space="preserve">Comportamiento: </w:t>
      </w:r>
      <w:r>
        <w:t xml:space="preserve">Gestionar usuarios permite asignar rol y desactivar. Configuración valida URL, referencia de secreto e intervalo. Reglas de alerta capturan fuente, condición, severidad y destinatarios. Ver intentos muestra historial SMTP; Ver notificaciones muestra el estado de los envíos de Power Automate; salud es Should.</w:t>
      </w:r>
    </w:p>
    <w:p>
      <w:pPr>
        <w:spacing w:after="100"/>
      </w:pPr>
      <w:r>
        <w:rPr>
          <w:b/>
          <w:bCs/>
        </w:rPr>
        <w:t xml:space="preserve">Validaciones y variantes: </w:t>
      </w:r>
      <w:r>
        <w:t xml:space="preserve">Cambiar rol o contraseña revoca sesiones. No afirmar actualización BI sin señal comprobable. SMTP aceptado no equivale a lectura. El estado de Power Automate no equivale a confirmación de lectura por el destinatario.</w:t>
      </w:r>
    </w:p>
    <w:p>
      <w:pPr>
        <w:spacing w:after="100"/>
      </w:pPr>
      <w:r>
        <w:rPr>
          <w:b/>
          <w:bCs/>
        </w:rPr>
        <w:t xml:space="preserve">Trazabilidad: </w:t>
      </w:r>
      <w:r>
        <w:t xml:space="preserve">CU-01, CU-08, CU-10, CU-15 y CU-24 a CU-27; configuracion_integracion y registros de operación.</w:t>
      </w:r>
    </w:p>
    <w:p>
      <w:pPr>
        <w:pStyle w:val="Heading1"/>
        <w:spacing w:after="200" w:before="400"/>
      </w:pPr>
      <w:r>
        <w:t xml:space="preserve">MM-01 · Móvil: inicio y ficha</w:t>
      </w:r>
    </w:p>
    <w:p>
      <w:pPr>
        <w:spacing w:after="100"/>
      </w:pPr>
      <w:r>
        <w:drawing>
          <wp:inline distT="0" distB="0" distL="0" distR="0">
            <wp:extent cx="58674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</w:pPr>
      <w:r>
        <w:rPr>
          <w:i/>
          <w:iCs/>
          <w:color w:val="595959"/>
        </w:rPr>
        <w:t xml:space="preserve">Figura MM-01. Propuesta visual de elaboración propia.</w:t>
      </w:r>
    </w:p>
    <w:p>
      <w:pPr>
        <w:spacing w:after="100"/>
      </w:pPr>
      <w:r>
        <w:rPr>
          <w:b/>
          <w:bCs/>
        </w:rPr>
        <w:t xml:space="preserve">Permisos: </w:t>
      </w:r>
      <w:r>
        <w:t xml:space="preserve">Usuario autenticado, con el mismo alcance de lectura autorizado en la web.</w:t>
      </w:r>
    </w:p>
    <w:p>
      <w:pPr>
        <w:spacing w:after="100"/>
      </w:pPr>
      <w:r>
        <w:rPr>
          <w:b/>
          <w:bCs/>
        </w:rPr>
        <w:t xml:space="preserve">Comportamiento: </w:t>
      </w:r>
      <w:r>
        <w:t xml:space="preserve">Buscar activo abre una ficha autorizada mediante código, nombre o serie.</w:t>
      </w:r>
    </w:p>
    <w:p>
      <w:pPr>
        <w:spacing w:after="100"/>
      </w:pPr>
      <w:r>
        <w:rPr>
          <w:b/>
          <w:bCs/>
        </w:rPr>
        <w:t xml:space="preserve">Validaciones y variantes: </w:t>
      </w:r>
      <w:r>
        <w:t xml:space="preserve">Sin conexión: mostrar error y última consulta si existe, sin afirmar datos actuales. Sesión vencida: volver al acceso. Activo no autorizado: informar sin revelar datos.</w:t>
      </w:r>
    </w:p>
    <w:p>
      <w:pPr>
        <w:spacing w:after="100"/>
      </w:pPr>
      <w:r>
        <w:rPr>
          <w:b/>
          <w:bCs/>
        </w:rPr>
        <w:t xml:space="preserve">Trazabilidad: </w:t>
      </w:r>
      <w:r>
        <w:t xml:space="preserve">RF-MOV; CU-01, CU-05, CU-07, CU-12, CU-20 y CU-23.</w:t>
      </w:r>
    </w:p>
    <w:p>
      <w:pPr>
        <w:pStyle w:val="Heading1"/>
        <w:spacing w:after="200" w:before="400"/>
      </w:pPr>
      <w:r>
        <w:t xml:space="preserve">MM-02 · Móvil: alertas e intervenciones</w:t>
      </w:r>
    </w:p>
    <w:p>
      <w:pPr>
        <w:spacing w:after="100"/>
      </w:pPr>
      <w:r>
        <w:drawing>
          <wp:inline distT="0" distB="0" distL="0" distR="0">
            <wp:extent cx="58674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</w:pPr>
      <w:r>
        <w:rPr>
          <w:i/>
          <w:iCs/>
          <w:color w:val="595959"/>
        </w:rPr>
        <w:t xml:space="preserve">Figura MM-02. Propuesta visual de elaboración propia.</w:t>
      </w:r>
    </w:p>
    <w:p>
      <w:pPr>
        <w:spacing w:after="100"/>
      </w:pPr>
      <w:r>
        <w:rPr>
          <w:b/>
          <w:bCs/>
        </w:rPr>
        <w:t xml:space="preserve">Permisos: </w:t>
      </w:r>
      <w:r>
        <w:t xml:space="preserve">Usuario autenticado, con el mismo alcance de lectura autorizado en la web.</w:t>
      </w:r>
    </w:p>
    <w:p>
      <w:pPr>
        <w:spacing w:after="100"/>
      </w:pPr>
      <w:r>
        <w:rPr>
          <w:b/>
          <w:bCs/>
        </w:rPr>
        <w:t xml:space="preserve">Comportamiento: </w:t>
      </w:r>
      <w:r>
        <w:t xml:space="preserve">Abrir alerta muestra condición, severidad, origen y hora. Abrir intervención muestra activos, responsable, estado, ventana y bitácora autorizada.</w:t>
      </w:r>
    </w:p>
    <w:p>
      <w:pPr>
        <w:spacing w:after="100"/>
      </w:pPr>
      <w:r>
        <w:rPr>
          <w:b/>
          <w:bCs/>
        </w:rPr>
        <w:t xml:space="preserve">Validaciones y variantes: </w:t>
      </w:r>
      <w:r>
        <w:t xml:space="preserve">No incluir reconocer, cerrar, aprobar, iniciar ni finalizar. Mostrar fecha del último dato; actualizar al recuperar conexión. El móvil no modifica registros de negocio.</w:t>
      </w:r>
    </w:p>
    <w:p>
      <w:pPr>
        <w:spacing w:after="100"/>
      </w:pPr>
      <w:r>
        <w:rPr>
          <w:b/>
          <w:bCs/>
        </w:rPr>
        <w:t xml:space="preserve">Trazabilidad: </w:t>
      </w:r>
      <w:r>
        <w:t xml:space="preserve">RF-MOV; CU-01, CU-05, CU-07, CU-12, CU-20 y CU-23.</w:t>
      </w:r>
    </w:p>
    <w:p>
      <w:pPr>
        <w:pStyle w:val="Heading1"/>
        <w:spacing w:after="200" w:before="400"/>
      </w:pPr>
      <w:r>
        <w:t xml:space="preserve">3. Cobertura y revisión del diseño</w:t>
      </w:r>
    </w:p>
    <w:p>
      <w:pPr>
        <w:spacing w:after="150"/>
      </w:pPr>
      <w:r>
        <w:t xml:space="preserve">Los recorridos principales se conectan así: ingreso → resumen → listado → detalle; desde detalle se abren las acciones autorizadas. Activos enlazan historial e intervenciones. Alertas enlazan evidencia y atención. Intervenciones enlazan solicitud, decisión, ejecución y notificación vía Power Automate. La administración concentra configuración e integraciones.</w:t>
      </w:r>
    </w:p>
    <w:p>
      <w:pPr>
        <w:spacing w:after="150"/>
      </w:pPr>
      <w:r>
        <w:t xml:space="preserve">Variantes por implementar a partir de las especificaciones: recuperación de contraseña; filtros avanzados; registro de sensores y umbrales; personas, puntos y permisos; solicitud de intervención; excepción de ventana; cierre de alerta; bitácora y adjuntos; usuarios, reglas, destinatarios y parámetros. No todas tienen una imagen independiente en este documento.</w:t>
      </w:r>
    </w:p>
    <w:p>
      <w:pPr>
        <w:spacing w:after="150"/>
      </w:pPr>
      <w:r>
        <w:t xml:space="preserve">Coherencia con decisiones adoptadas: eventos de acceso inalterables; cierre de alertas manual; inicio de trabajo exclusivo del responsable y dentro de ventana; agendamiento y notificación de intervenciones automatizados mediante Microsoft Forms/Power Automate. Power BI muestra No verificada cuando no exista confirmación comprobable de actualización.</w:t>
      </w:r>
    </w:p>
    <w:p>
      <w:pPr>
        <w:spacing w:after="150"/>
      </w:pPr>
      <w:r>
        <w:t xml:space="preserve">Revisión propuesta con el equipo: recorrer alta y búsqueda de activo, reconocer una alerta, solicitar y aprobar una ventana, rechazar un solapamiento e iniciar como responsable. Probar además rol sin permisos, dato duplicado, sesión vencida, ausencia de conexión y lectura desactualizada. Registrar observaciones y ajustes antes de desarrollar; estas pruebas aún no se han ejecutado.</w:t>
      </w:r>
    </w:p>
    <w:p>
      <w:pPr>
        <w:spacing w:after="150"/>
      </w:pPr>
      <w:r>
        <w:t xml:space="preserve">La presencia de un acceso visual a funciones Should o Could no modifica su prioridad. La siguiente etapa de gestión debe asignar responsables y fechas a la validación de estas pantallas. Los documentos anteriores requieren una revisión conjunta de consistencia al consolidar la entrega.</w:t>
      </w:r>
    </w:p>
    <w:p>
      <w:pPr>
        <w:pStyle w:val="Heading2"/>
        <w:spacing w:after="150" w:before="300"/>
      </w:pPr>
      <w:r>
        <w:t xml:space="preserve">Referencias</w:t>
      </w:r>
    </w:p>
    <w:p>
      <w:pPr>
        <w:spacing w:after="150"/>
      </w:pPr>
      <w:r>
        <w:t xml:space="preserve">Equipo SICMA. (2026). Documentos de requerimientos, casos de uso, clases, actividades y modelo de base de datos [Documentos académicos internos].</w:t>
      </w:r>
    </w:p>
    <w:sectPr>
      <w:footerReference w:type="default" r:id="rIdFtr"/>
      <w:footerReference w:type="first" r:id="rIdFtrFirst"/>
      <w:headerReference w:type="default" r:id="rIdHdr"/>
      <w:headerReference w:type="first" r:id="rIdHdrFirst"/>
      <w:pgSz w:w="11906" w:h="16838"/>
      <w:pgMar w:top="1134" w:right="1417" w:bottom="1134" w:left="1417" w:header="567" w:footer="567" w:gutter="0"/>
      <w:pgNumType/>
      <w:docGrid w:linePitch="360"/>
      <w:titlePg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/>
</w:ftr>
</file>

<file path=word/footer2.xml><?xml version="1.0" encoding="utf-8"?>
<w:ftr xmlns:w="http://schemas.openxmlformats.org/wordprocessingml/2006/main">
  <w:p>
    <w:pPr>
      <w:jc w:val="center"/>
      <w:spacing w:after="0"/>
    </w:pPr>
    <w:r>
      <w:rPr>
        <w:sz w:val="16"/>
        <w:szCs w:val="16"/>
        <w:color w:val="808080"/>
      </w:rPr>
      <w:t xml:space="preserve">Página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6"/>
        <w:szCs w:val="16"/>
        <w:color w:val="808080"/>
      </w:rP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/>
</w:hdr>
</file>

<file path=word/header2.xml><?xml version="1.0" encoding="utf-8"?>
<w:hdr xmlns:w="http://schemas.openxmlformats.org/wordprocessingml/2006/main">
  <w:p>
    <w:pPr>
      <w:jc w:val="right"/>
      <w:pBdr>
        <w:bottom w:val="single" w:sz="6" w:space="4" w:color="BFBFBF"/>
      </w:pBdr>
      <w:spacing w:after="0"/>
    </w:pPr>
    <w:r>
      <w:rPr>
        <w:sz w:val="16"/>
        <w:szCs w:val="16"/>
        <w:color w:val="808080"/>
      </w:rPr>
      <w:t xml:space="preserve">SICMA · Mockups · Duoc UC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cs="Calibri" w:eastAsia="Calibri"/>
        <w:color w:val="2020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before="360" w:after="200" w:line="276" w:lineRule="auto"/>
      <w:pBdr>
        <w:bottom w:val="single" w:sz="8" w:space="4" w:color="1F3864"/>
      </w:pBdr>
      <w:outlineLvl w:val="0"/>
    </w:pPr>
    <w:rPr>
      <w:rFonts w:ascii="Calibri" w:hAnsi="Calibri" w:cs="Calibri" w:eastAsia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40" w:line="276" w:lineRule="auto"/>
      <w:outlineLvl w:val="1"/>
    </w:pPr>
    <w:rPr>
      <w:rFonts w:ascii="Calibri" w:hAnsi="Calibri" w:cs="Calibri" w:eastAsia="Calibri"/>
      <w:b/>
      <w:bCs/>
      <w:color w:val="2E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before="220" w:after="120" w:line="276" w:lineRule="auto"/>
      <w:outlineLvl w:val="2"/>
    </w:pPr>
    <w:rPr>
      <w:rFonts w:ascii="Calibri" w:hAnsi="Calibri" w:cs="Calibri" w:eastAsia="Calibri"/>
      <w:b/>
      <w:bCs/>
      <w:color w:val="404040"/>
      <w:sz w:val="23"/>
      <w:szCs w:val="23"/>
    </w:rPr>
  </w:style>
  <w:style w:type="paragraph" w:styleId="Heading4">
    <w:name w:val="Heading 4"/>
    <w:basedOn w:val="Normal"/>
    <w:next w:val="Normal"/>
    <w:qFormat/>
    <w:pPr>
      <w:keepNext/>
      <w:keepLines/>
      <w:spacing w:before="200" w:after="100" w:line="276" w:lineRule="auto"/>
      <w:outlineLvl w:val="3"/>
    </w:pPr>
    <w:rPr>
      <w:rFonts w:ascii="Calibri" w:hAnsi="Calibri" w:cs="Calibri" w:eastAsia="Calibri"/>
      <w:b/>
      <w:bCs/>
      <w:color w:val="404040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76" w:lineRule="auto"/>
      <w:jc w:val="both"/>
    </w:pPr>
    <w:rPr>
      <w:rFonts w:ascii="Calibri" w:hAnsi="Calibri" w:cs="Calibri" w:eastAsia="Calibri"/>
      <w:color w:val="20202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afbd78cb38bf6db08558758f6bfa78f77ba35c0.png"/><Relationship Id="rId8" Type="http://schemas.openxmlformats.org/officeDocument/2006/relationships/image" Target="media/b0c90bbf50fd77ea56ad491496fc039102d18a17.png"/><Relationship Id="rId9" Type="http://schemas.openxmlformats.org/officeDocument/2006/relationships/image" Target="media/798a50d2fffe1fd5b38e7a605128b428e85f08df.png"/><Relationship Id="rId10" Type="http://schemas.openxmlformats.org/officeDocument/2006/relationships/image" Target="media/e96483f49c6e2ab15b44f1082753ef9bfdbed996.png"/><Relationship Id="rId11" Type="http://schemas.openxmlformats.org/officeDocument/2006/relationships/image" Target="media/09f6c9273a4ba7fcb46f3895a51d8642f039a41e.png"/><Relationship Id="rId12" Type="http://schemas.openxmlformats.org/officeDocument/2006/relationships/image" Target="media/574b0defc58eedf42f3a2742ed3e4758d3fcf18b.png"/><Relationship Id="rId13" Type="http://schemas.openxmlformats.org/officeDocument/2006/relationships/image" Target="media/072706d04d40d1fd01d8163736067367c3f9557c.png"/><Relationship Id="rId14" Type="http://schemas.openxmlformats.org/officeDocument/2006/relationships/image" Target="media/020a92574b464fbbcbe64ac5136b0f2792164900.png"/><Relationship Id="rId15" Type="http://schemas.openxmlformats.org/officeDocument/2006/relationships/image" Target="media/e7b141055feb8f4a24c8f138474dec76ea07abe0.png"/><Relationship Id="rId16" Type="http://schemas.openxmlformats.org/officeDocument/2006/relationships/image" Target="media/ff7494d2743ce03adc56d635152792be89d49e2a.png"/><Relationship Id="rId17" Type="http://schemas.openxmlformats.org/officeDocument/2006/relationships/image" Target="media/0185333e56eec90ff5dfcde0ec7044178bc89165.png"/><Relationship Id="rId18" Type="http://schemas.openxmlformats.org/officeDocument/2006/relationships/image" Target="media/50eaad4bd92ca0996ecd7c8a31e4a463ff02d267.png"/><Relationship Id="rId19" Type="http://schemas.openxmlformats.org/officeDocument/2006/relationships/image" Target="media/54ec079212754f3a5f492fee69230aabddb3ddc5.png"/><Relationship Id="rId20" Type="http://schemas.openxmlformats.org/officeDocument/2006/relationships/image" Target="media/7d45bce78a5c53866e6046b9bd8a7e014f09c24f.png"/><Relationship Id="rId21" Type="http://schemas.openxmlformats.org/officeDocument/2006/relationships/fontTable" Target="fontTable.xml"/><Relationship Id="rIdLogoSICMA" Type="http://schemas.openxmlformats.org/officeDocument/2006/relationships/image" Target="media/logoDuocSICMA.png"/><Relationship Id="rIdHdrFirst" Type="http://schemas.openxmlformats.org/officeDocument/2006/relationships/header" Target="header1.xml"/><Relationship Id="rIdHdr" Type="http://schemas.openxmlformats.org/officeDocument/2006/relationships/header" Target="header2.xml"/><Relationship Id="rIdFtrFirst" Type="http://schemas.openxmlformats.org/officeDocument/2006/relationships/footer" Target="footer1.xml"/><Relationship Id="rIdFtr" Type="http://schemas.openxmlformats.org/officeDocument/2006/relationships/footer" Target="footer2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2026-09-12T02:47:01.437Z</dcterms:created>
  <dcterms:modified xsi:type="dcterms:W3CDTF">2026-09-12T02:47:01.438Z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