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jc w:val="left"/>
        <w:spacing w:after="240"/>
      </w:pPr>
      <w:r>
        <w:drawing>
          <wp:inline distT="0" distB="0" distL="0" distR="0">
            <wp:extent cx="2232000" cy="721816"/>
            <wp:effectExtent l="0" t="0" r="0" b="0"/>
            <wp:docPr id="900" name="LogoDuoc" descr="Duoc UC - Escuela de Informatica y Telecomunicaciones"/>
            <wp:cNvGraphicFramePr>
              <a:graphicFrameLocks noChangeAspect="1"/>
            </wp:cNvGraphicFramePr>
            <a:graphic>
              <a:graphicData uri="http://schemas.openxmlformats.org/drawingml/2006/picture">
                <pic:pic>
                  <pic:nvPicPr>
                    <pic:cNvPr id="900" name="logo.png"/>
                    <pic:cNvPicPr/>
                  </pic:nvPicPr>
                  <pic:blipFill>
                    <a:blip r:embed="rIdLogoSICMA"/>
                    <a:stretch>
                      <a:fillRect/>
                    </a:stretch>
                  </pic:blipFill>
                  <pic:spPr>
                    <a:xfrm>
                      <a:off x="0" y="0"/>
                      <a:ext cx="2232000" cy="721816"/>
                    </a:xfrm>
                    <a:prstGeom prst="rect">
                      <a:avLst/>
                    </a:prstGeom>
                  </pic:spPr>
                </pic:pic>
              </a:graphicData>
            </a:graphic>
          </wp:inline>
        </w:drawing>
      </w:r>
    </w:p>
    <w:p>
      <w:pPr>
        <w:spacing w:before="0" w:after="1200" w:line="276" w:lineRule="auto"/>
      </w:pPr>
      <w:r>
        <w:rPr>
          <w:rFonts w:ascii="Calibri" w:hAnsi="Calibri" w:cs="Calibri"/>
          <w:color w:val="202020"/>
          <w:sz w:val="22"/>
          <w:szCs w:val="22"/>
        </w:rPr>
        <w:t xml:space="preserve"/>
      </w:r>
    </w:p>
    <w:p>
      <w:pPr>
        <w:jc w:val="center"/>
        <w:spacing w:before="0" w:after="80" w:line="276" w:lineRule="auto"/>
      </w:pPr>
      <w:r>
        <w:rPr>
          <w:rFonts w:ascii="Calibri" w:hAnsi="Calibri" w:cs="Calibri"/>
          <w:b/>
          <w:color w:val="7F7F7F"/>
          <w:sz w:val="18"/>
          <w:szCs w:val="18"/>
        </w:rPr>
        <w:t xml:space="preserve">CAPSTONE · FASE 1</w:t>
      </w:r>
    </w:p>
    <w:p>
      <w:pPr>
        <w:jc w:val="center"/>
        <w:spacing w:before="0" w:after="100" w:line="276" w:lineRule="auto"/>
      </w:pPr>
      <w:r>
        <w:rPr>
          <w:rFonts w:ascii="Calibri" w:hAnsi="Calibri" w:cs="Calibri"/>
          <w:b/>
          <w:color w:val="1F3864"/>
          <w:sz w:val="64"/>
          <w:szCs w:val="64"/>
        </w:rPr>
        <w:t xml:space="preserve">SICMA</w:t>
      </w:r>
    </w:p>
    <w:p>
      <w:pPr>
        <w:jc w:val="center"/>
        <w:spacing w:before="0" w:after="200" w:line="276" w:lineRule="auto"/>
      </w:pPr>
      <w:r>
        <w:rPr>
          <w:rFonts w:ascii="Calibri" w:hAnsi="Calibri" w:cs="Calibri"/>
          <w:color w:val="202020"/>
          <w:sz w:val="24"/>
          <w:szCs w:val="24"/>
        </w:rPr>
        <w:t xml:space="preserve">Sistema Integrado de Control y Monitoreo de Activos</w:t>
      </w:r>
    </w:p>
    <w:p>
      <w:pPr>
        <w:jc w:val="center"/>
        <w:spacing w:before="0" w:after="100" w:line="276" w:lineRule="auto"/>
      </w:pPr>
      <w:r>
        <w:rPr>
          <w:rFonts w:ascii="Calibri" w:hAnsi="Calibri" w:cs="Calibri"/>
          <w:b/>
          <w:color w:val="2E5C8A"/>
          <w:sz w:val="30"/>
          <w:szCs w:val="30"/>
        </w:rPr>
        <w:t xml:space="preserve">Modelo de base de datos</w:t>
      </w:r>
    </w:p>
    <w:p>
      <w:pPr>
        <w:jc w:val="center"/>
        <w:spacing w:before="0" w:after="120" w:line="276" w:lineRule="auto"/>
      </w:pPr>
      <w:r>
        <w:rPr>
          <w:rFonts w:ascii="Calibri" w:hAnsi="Calibri" w:cs="Calibri"/>
          <w:i/>
          <w:color w:val="595959"/>
          <w:sz w:val="21"/>
          <w:szCs w:val="21"/>
        </w:rPr>
        <w:t xml:space="preserve">Visión general del modelo relacional y su alcance · Datacenter simulado</w:t>
      </w:r>
    </w:p>
    <w:p>
      <w:pPr>
        <w:spacing w:before="0" w:after="1600" w:line="276" w:lineRule="auto"/>
      </w:pPr>
      <w:r>
        <w:rPr>
          <w:rFonts w:ascii="Calibri" w:hAnsi="Calibri" w:cs="Calibri"/>
          <w:color w:val="202020"/>
          <w:sz w:val="22"/>
          <w:szCs w:val="22"/>
        </w:rPr>
        <w:t xml:space="preserve"/>
      </w:r>
    </w:p>
    <w:p>
      <w:pPr>
        <w:spacing w:before="0" w:after="60" w:line="276" w:lineRule="auto"/>
      </w:pPr>
      <w:r>
        <w:rPr>
          <w:rFonts w:ascii="Calibri" w:hAnsi="Calibri" w:cs="Calibri"/>
          <w:b/>
          <w:color w:val="202020"/>
          <w:sz w:val="22"/>
          <w:szCs w:val="22"/>
        </w:rPr>
        <w:t xml:space="preserve">Integrantes:</w:t>
      </w:r>
    </w:p>
    <w:p>
      <w:pPr>
        <w:ind w:left="600" w:hanging="240"/>
        <w:spacing w:before="0" w:after="40" w:line="276" w:lineRule="auto"/>
      </w:pPr>
      <w:r>
        <w:rPr>
          <w:rFonts w:ascii="Calibri" w:hAnsi="Calibri"/>
          <w:color w:val="202020"/>
          <w:sz w:val="22"/>
          <w:szCs w:val="22"/>
        </w:rPr>
        <w:t xml:space="preserve">•   Álvaro Antonio González Briones</w:t>
      </w:r>
    </w:p>
    <w:p>
      <w:pPr>
        <w:ind w:left="600" w:hanging="240"/>
        <w:spacing w:before="0" w:after="40" w:line="276" w:lineRule="auto"/>
      </w:pPr>
      <w:r>
        <w:rPr>
          <w:rFonts w:ascii="Calibri" w:hAnsi="Calibri"/>
          <w:color w:val="202020"/>
          <w:sz w:val="22"/>
          <w:szCs w:val="22"/>
        </w:rPr>
        <w:t xml:space="preserve">•   Claudio Alejandro Varas Toro</w:t>
      </w:r>
    </w:p>
    <w:p>
      <w:pPr>
        <w:ind w:left="600" w:hanging="240"/>
        <w:spacing w:before="0" w:after="40" w:line="276" w:lineRule="auto"/>
      </w:pPr>
      <w:r>
        <w:rPr>
          <w:rFonts w:ascii="Calibri" w:hAnsi="Calibri"/>
          <w:color w:val="202020"/>
          <w:sz w:val="22"/>
          <w:szCs w:val="22"/>
        </w:rPr>
        <w:t xml:space="preserve">•   Fidel Argenis Rodríguez Prieto</w:t>
      </w:r>
    </w:p>
    <w:p>
      <w:pPr>
        <w:spacing w:before="0" w:after="20" w:line="276" w:lineRule="auto"/>
      </w:pPr>
      <w:r>
        <w:rPr>
          <w:rFonts w:ascii="Calibri" w:hAnsi="Calibri" w:cs="Calibri"/>
          <w:b/>
          <w:color w:val="202020"/>
          <w:sz w:val="22"/>
          <w:szCs w:val="22"/>
        </w:rPr>
        <w:t xml:space="preserve">Sección: </w:t>
      </w:r>
      <w:r>
        <w:rPr>
          <w:rFonts w:ascii="Calibri" w:hAnsi="Calibri" w:cs="Calibri"/>
          <w:color w:val="202020"/>
          <w:sz w:val="22"/>
          <w:szCs w:val="22"/>
        </w:rPr>
        <w:t xml:space="preserve">001V</w:t>
      </w:r>
    </w:p>
    <w:p>
      <w:pPr>
        <w:spacing w:before="0" w:after="20" w:line="276" w:lineRule="auto"/>
      </w:pPr>
      <w:r>
        <w:rPr>
          <w:rFonts w:ascii="Calibri" w:hAnsi="Calibri" w:cs="Calibri"/>
          <w:b/>
          <w:color w:val="202020"/>
          <w:sz w:val="22"/>
          <w:szCs w:val="22"/>
        </w:rPr>
        <w:t xml:space="preserve">Docente: </w:t>
      </w:r>
      <w:r>
        <w:rPr>
          <w:rFonts w:ascii="Calibri" w:hAnsi="Calibri" w:cs="Calibri"/>
          <w:color w:val="202020"/>
          <w:sz w:val="22"/>
          <w:szCs w:val="22"/>
        </w:rPr>
        <w:t xml:space="preserve">Luis Bravo</w:t>
      </w:r>
    </w:p>
    <w:p>
      <w:pPr>
        <w:spacing w:before="0" w:after="20" w:line="276" w:lineRule="auto"/>
      </w:pPr>
      <w:r>
        <w:rPr>
          <w:rFonts w:ascii="Calibri" w:hAnsi="Calibri" w:cs="Calibri"/>
          <w:b/>
          <w:color w:val="202020"/>
          <w:sz w:val="22"/>
          <w:szCs w:val="22"/>
        </w:rPr>
        <w:t xml:space="preserve">Sede/Campus: </w:t>
      </w:r>
      <w:r>
        <w:rPr>
          <w:rFonts w:ascii="Calibri" w:hAnsi="Calibri" w:cs="Calibri"/>
          <w:color w:val="202020"/>
          <w:sz w:val="22"/>
          <w:szCs w:val="22"/>
        </w:rPr>
        <w:t xml:space="preserve">Plaza Oeste</w:t>
      </w:r>
    </w:p>
    <w:p>
      <w:pPr>
        <w:spacing w:before="0" w:after="20" w:line="276" w:lineRule="auto"/>
      </w:pPr>
      <w:r>
        <w:rPr>
          <w:rFonts w:ascii="Calibri" w:hAnsi="Calibri" w:cs="Calibri"/>
          <w:b/>
          <w:color w:val="202020"/>
          <w:sz w:val="22"/>
          <w:szCs w:val="22"/>
        </w:rPr>
        <w:t xml:space="preserve">Versión: </w:t>
      </w:r>
      <w:r>
        <w:rPr>
          <w:rFonts w:ascii="Calibri" w:hAnsi="Calibri" w:cs="Calibri"/>
          <w:color w:val="202020"/>
          <w:sz w:val="22"/>
          <w:szCs w:val="22"/>
        </w:rPr>
        <w:t xml:space="preserve">1.1</w:t>
      </w:r>
    </w:p>
    <w:p>
      <w:pPr>
        <w:spacing w:before="0" w:after="20" w:line="276" w:lineRule="auto"/>
      </w:pPr>
      <w:r>
        <w:rPr>
          <w:rFonts w:ascii="Calibri" w:hAnsi="Calibri" w:cs="Calibri"/>
          <w:b/>
          <w:color w:val="202020"/>
          <w:sz w:val="22"/>
          <w:szCs w:val="22"/>
        </w:rPr>
        <w:t xml:space="preserve">Fecha de entrega: </w:t>
      </w:r>
      <w:r>
        <w:rPr>
          <w:rFonts w:ascii="Calibri" w:hAnsi="Calibri" w:cs="Calibri"/>
          <w:color w:val="202020"/>
          <w:sz w:val="22"/>
          <w:szCs w:val="22"/>
        </w:rPr>
        <w:t xml:space="preserve">septiembre de 2026</w:t>
      </w:r>
    </w:p>
    <w:p>
      <w:pPr>
        <w:spacing w:before="0" w:after="200" w:line="276" w:lineRule="auto"/>
      </w:pPr>
      <w:r>
        <w:rPr>
          <w:rFonts w:ascii="Calibri" w:hAnsi="Calibri" w:cs="Calibri"/>
          <w:color w:val="202020"/>
          <w:sz w:val="22"/>
          <w:szCs w:val="22"/>
        </w:rPr>
        <w:t xml:space="preserve"/>
      </w:r>
    </w:p>
    <w:p>
      <w:pPr>
        <w:spacing w:before="0" w:after="0" w:line="276" w:lineRule="auto"/>
      </w:pPr>
      <w:r>
        <w:rPr>
          <w:rFonts w:ascii="Calibri" w:hAnsi="Calibri" w:cs="Calibri"/>
          <w:i/>
          <w:color w:val="595959"/>
          <w:sz w:val="20"/>
          <w:szCs w:val="20"/>
        </w:rPr>
        <w:t xml:space="preserve">Versión 1.1 con criterios técnicos definidos.</w:t>
      </w:r>
    </w:p>
    <w:p>
      <w:r>
        <w:br w:type="page"/>
      </w:r>
    </w:p>
    <w:p>
      <w:pPr>
        <w:pStyle w:val="Heading1"/>
      </w:pPr>
      <w:r>
        <w:t>Índice</w:t>
      </w:r>
    </w:p>
    <w:p>
      <w:r>
        <w:fldChar w:fldCharType="begin"/>
        <w:instrText xml:space="preserve"> TOC \o "1-3" \h \z \u </w:instrText>
        <w:fldChar w:fldCharType="separate"/>
        <w:t>Actualiza este campo en Word para generar el índice.</w:t>
        <w:fldChar w:fldCharType="end"/>
      </w:r>
    </w:p>
    <w:p>
      <w:r>
        <w:br w:type="page"/>
      </w:r>
    </w:p>
    <w:p w14:paraId="410E76F5" w14:textId="77777777" w:rsidR="00A86428" w:rsidRDefault="4A4461CE">
      <w:pPr>
        <w:pStyle w:val="heading10"/>
      </w:pPr>
      <w:r>
        <w:t>1. Alcance general</w:t>
      </w:r>
    </w:p>
    <w:p w14:paraId="01E18186" w14:textId="77777777" w:rsidR="00A86428" w:rsidRDefault="4A4461CE">
      <w:pPr>
        <w:spacing w:after="120" w:line="276" w:lineRule="auto"/>
        <w:jc w:val="both"/>
      </w:pPr>
      <w:r>
        <w:t>El modelo de base de datos de SICMA cubre las áreas funcionales de negocio del sistema. El presente documento consolida el alcance del modelo relacional y fija los criterios técnicos ya adoptados por el equipo, que anteriormente figuraban como pendientes de definición.</w:t>
      </w:r>
    </w:p>
    <w:p w14:paraId="7D24A4B5" w14:textId="77777777" w:rsidR="00A86428" w:rsidRDefault="4A4461CE">
      <w:pPr>
        <w:spacing w:after="120" w:line="276" w:lineRule="auto"/>
        <w:jc w:val="both"/>
      </w:pPr>
      <w:r>
        <w:t>Las áreas funcionales cubiertas por el modelo son las siguientes:</w:t>
      </w:r>
    </w:p>
    <w:p w14:paraId="6F3AD9E1" w14:textId="77777777" w:rsidR="00A86428" w:rsidRDefault="4A4461CE">
      <w:pPr>
        <w:pStyle w:val="ListParagraph"/>
        <w:numPr>
          <w:ilvl w:val="0"/>
          <w:numId w:val="2"/>
        </w:numPr>
        <w:spacing w:after="60"/>
      </w:pPr>
      <w:r>
        <w:t>Gestión de usuarios y accesos al sistema.</w:t>
      </w:r>
    </w:p>
    <w:p w14:paraId="3536CF66" w14:textId="77777777" w:rsidR="00A86428" w:rsidRDefault="00DE0607">
      <w:pPr>
        <w:pStyle w:val="ListParagraph"/>
        <w:numPr>
          <w:ilvl w:val="0"/>
          <w:numId w:val="2"/>
        </w:numPr>
        <w:spacing w:after="60"/>
      </w:pPr>
      <w:r>
        <w:t>Registro y seguimiento de activos.</w:t>
      </w:r>
    </w:p>
    <w:p w14:paraId="0641EFA6" w14:textId="77777777" w:rsidR="00A86428" w:rsidRDefault="4A4461CE">
      <w:pPr>
        <w:pStyle w:val="ListParagraph"/>
        <w:numPr>
          <w:ilvl w:val="0"/>
          <w:numId w:val="2"/>
        </w:numPr>
        <w:spacing w:after="60"/>
      </w:pPr>
      <w:r>
        <w:t>Monitoreo ambiental (sensores y mediciones).</w:t>
      </w:r>
    </w:p>
    <w:p w14:paraId="1122671B" w14:textId="77777777" w:rsidR="00A86428" w:rsidRDefault="4A4461CE">
      <w:pPr>
        <w:pStyle w:val="ListParagraph"/>
        <w:numPr>
          <w:ilvl w:val="0"/>
          <w:numId w:val="2"/>
        </w:numPr>
        <w:spacing w:after="60"/>
      </w:pPr>
      <w:r>
        <w:t>Gestión de alertas y notificaciones.</w:t>
      </w:r>
    </w:p>
    <w:p w14:paraId="4F53DAA9" w14:textId="77777777" w:rsidR="00A86428" w:rsidRDefault="4A4461CE">
      <w:pPr>
        <w:pStyle w:val="ListParagraph"/>
        <w:numPr>
          <w:ilvl w:val="0"/>
          <w:numId w:val="2"/>
        </w:numPr>
        <w:spacing w:after="60"/>
      </w:pPr>
      <w:r>
        <w:t>Control de acceso físico a instalaciones.</w:t>
      </w:r>
    </w:p>
    <w:p w14:paraId="2308CD89" w14:textId="77777777" w:rsidR="00A86428" w:rsidRDefault="4A4461CE">
      <w:pPr>
        <w:pStyle w:val="ListParagraph"/>
        <w:numPr>
          <w:ilvl w:val="0"/>
          <w:numId w:val="2"/>
        </w:numPr>
        <w:spacing w:after="60"/>
      </w:pPr>
      <w:r>
        <w:t>Intervenciones y mantenimientos sobre activos.</w:t>
      </w:r>
    </w:p>
    <w:p w14:paraId="40088D3A" w14:textId="77777777" w:rsidR="00A86428" w:rsidRDefault="4A4461CE">
      <w:pPr>
        <w:pStyle w:val="ListParagraph"/>
        <w:numPr>
          <w:ilvl w:val="0"/>
          <w:numId w:val="2"/>
        </w:numPr>
        <w:spacing w:after="60"/>
      </w:pPr>
      <w:r>
        <w:t>Integraciones con sistemas externos.</w:t>
      </w:r>
    </w:p>
    <w:p w14:paraId="5B02141B" w14:textId="77777777" w:rsidR="00A86428" w:rsidRDefault="4A4461CE">
      <w:pPr>
        <w:spacing w:after="120" w:line="276" w:lineRule="auto"/>
        <w:jc w:val="both"/>
      </w:pPr>
      <w:r>
        <w:t>La aplicación web contempla operaciones de administración y gestión, mientras que la aplicación móvil es exclusivamente de consulta (solo lectura). El entorno de trabajo corresponde a un datacenter simulado para efectos del proyecto.</w:t>
      </w:r>
    </w:p>
    <w:p w14:paraId="310D37DC" w14:textId="77777777" w:rsidR="00A86428" w:rsidRDefault="4A4461CE">
      <w:pPr>
        <w:pStyle w:val="heading20"/>
      </w:pPr>
      <w:r>
        <w:t>1.1 Exclusiones explícitas del alcance</w:t>
      </w:r>
    </w:p>
    <w:p w14:paraId="040D9F6B" w14:textId="77777777" w:rsidR="00A86428" w:rsidRDefault="4A4461CE">
      <w:pPr>
        <w:spacing w:after="120" w:line="276" w:lineRule="auto"/>
        <w:jc w:val="both"/>
      </w:pPr>
      <w:r>
        <w:t>Con el fin de acotar el proyecto, las siguientes áreas quedan formalmente fuera del alcance del modelo de datos de negocio en esta fase:</w:t>
      </w:r>
    </w:p>
    <w:p w14:paraId="3B295B09" w14:textId="77777777" w:rsidR="00A86428" w:rsidRDefault="4A4461CE">
      <w:pPr>
        <w:pStyle w:val="ListParagraph"/>
        <w:numPr>
          <w:ilvl w:val="0"/>
          <w:numId w:val="3"/>
        </w:numPr>
        <w:spacing w:after="60"/>
      </w:pPr>
      <w:r>
        <w:rPr>
          <w:b/>
          <w:bCs/>
        </w:rPr>
        <w:t xml:space="preserve">Auditoría general y trazabilidad transversal del sistema: </w:t>
      </w:r>
      <w:r>
        <w:t>no se modela una auditoría global. La trazabilidad se acota a entidades específicas cuando el requerimiento lo exige (por ejemplo, el historial de cambios de un activo).</w:t>
      </w:r>
    </w:p>
    <w:p w14:paraId="56D32E06" w14:textId="77777777" w:rsidR="00A86428" w:rsidRDefault="4A4461CE">
      <w:pPr>
        <w:pStyle w:val="ListParagraph"/>
        <w:numPr>
          <w:ilvl w:val="0"/>
          <w:numId w:val="3"/>
        </w:numPr>
        <w:spacing w:after="60"/>
      </w:pPr>
      <w:r>
        <w:rPr>
          <w:b/>
          <w:bCs/>
        </w:rPr>
        <w:t xml:space="preserve">Configuración de parámetros generales del sistema: </w:t>
      </w:r>
      <w:r>
        <w:t>fuera de alcance.</w:t>
      </w:r>
    </w:p>
    <w:p w14:paraId="671AD376" w14:textId="77777777" w:rsidR="00A86428" w:rsidRDefault="00DE0607">
      <w:pPr>
        <w:pStyle w:val="ListParagraph"/>
        <w:numPr>
          <w:ilvl w:val="0"/>
          <w:numId w:val="3"/>
        </w:numPr>
        <w:spacing w:after="60"/>
      </w:pPr>
      <w:r>
        <w:rPr>
          <w:b/>
          <w:bCs/>
        </w:rPr>
        <w:t xml:space="preserve">Gestión de sesiones de usuario: </w:t>
      </w:r>
      <w:r>
        <w:t>es responsabilidad del framework de aplicación (Django) y no forma parte del modelo de datos de negocio.</w:t>
      </w:r>
    </w:p>
    <w:p w14:paraId="4C355B80" w14:textId="77777777" w:rsidR="00A86428" w:rsidRDefault="00DE0607">
      <w:pPr>
        <w:pStyle w:val="ListParagraph"/>
        <w:numPr>
          <w:ilvl w:val="0"/>
          <w:numId w:val="3"/>
        </w:numPr>
        <w:spacing w:after="60"/>
      </w:pPr>
      <w:r>
        <w:rPr>
          <w:b/>
          <w:bCs/>
        </w:rPr>
        <w:t xml:space="preserve">Respaldo lógico e identificación por código QR: </w:t>
      </w:r>
      <w:r>
        <w:t>fuera de alcance del proyecto.</w:t>
      </w:r>
    </w:p>
    <w:p w14:paraId="4052DD5C" w14:textId="77777777" w:rsidR="00A86428" w:rsidRDefault="00DE0607">
      <w:pPr>
        <w:pStyle w:val="heading10"/>
      </w:pPr>
      <w:r>
        <w:t>2. Criterios técnicos definidos</w:t>
      </w:r>
    </w:p>
    <w:p w14:paraId="6C5CB0C7" w14:textId="77777777" w:rsidR="00A86428" w:rsidRDefault="00DE0607">
      <w:pPr>
        <w:spacing w:after="120" w:line="276" w:lineRule="auto"/>
        <w:jc w:val="both"/>
      </w:pPr>
      <w:r>
        <w:t>A diferencia de la versión preliminar, los criterios técnicos del modelo ya se encuentran definidos y adoptados por el equipo. Se documentan a continuación como base para el diseño detallado y la implementación.</w:t>
      </w:r>
    </w:p>
    <w:tbl>
      <w:tblPr>
        <w:tblInd w:w="-7" w:type="dxa"/>
        <w:tblLook w:val="04A0" w:firstRow="1" w:lastRow="0" w:firstColumn="1" w:lastColumn="0" w:noHBand="0" w:noVBand="1"/>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600"/>
        <w:gridCol w:w="6760"/>
      </w:tblGrid>
      <w:tr w:rsidR="00A86428" w14:paraId="57D8E8D5" w14:textId="77777777">
        <w:trPr>
          <w:tblHeader/>
        </w:trPr>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shd w:val="clear" w:color="auto" w:fill="1F3864"/>
            <w:vAlign w:val="center"/>
          </w:tcPr>
          <w:p w14:paraId="784CEF5B" w14:textId="77777777" w:rsidR="00A86428" w:rsidRDefault="00DE0607">
            <w:pPr>
              <w:spacing w:before="40" w:after="40" w:line="240" w:lineRule="auto"/>
              <w:jc w:val="center"/>
            </w:pPr>
            <w:r>
              <w:rPr>
                <w:b/>
                <w:bCs/>
                <w:sz w:val="18"/>
                <w:szCs w:val="18"/>
                <w:color w:val="FFFFFF"/>
              </w:rPr>
              <w:t>Criterio</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shd w:val="clear" w:color="auto" w:fill="1F3864"/>
            <w:vAlign w:val="center"/>
          </w:tcPr>
          <w:p w14:paraId="56799E80" w14:textId="77777777" w:rsidR="00A86428" w:rsidRDefault="00DE0607">
            <w:pPr>
              <w:spacing w:before="40" w:after="40" w:line="240" w:lineRule="auto"/>
              <w:jc w:val="center"/>
            </w:pPr>
            <w:r>
              <w:rPr>
                <w:b/>
                <w:bCs/>
                <w:sz w:val="18"/>
                <w:szCs w:val="18"/>
                <w:color w:val="FFFFFF"/>
              </w:rPr>
              <w:t>Definición adoptada</w:t>
            </w:r>
          </w:p>
        </w:tc>
      </w:tr>
      <w:tr w:rsidR="00A86428" w14:paraId="34210ECD" w14:textId="77777777">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76BEBB77" w14:textId="77777777" w:rsidR="00A86428" w:rsidRDefault="00DE0607">
            <w:pPr>
              <w:spacing w:before="40" w:after="40" w:line="240" w:lineRule="auto"/>
              <w:jc w:val="left"/>
            </w:pPr>
            <w:r>
              <w:rPr>
                <w:sz w:val="18"/>
                <w:szCs w:val="18"/>
                <w:color w:val="202020"/>
              </w:rPr>
              <w:t>Motor de base de datos</w:t>
            </w:r>
          </w:p>
        </w:tc>
        <w:tc>
          <w:tcPr>
            <w:tcW w:w="67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40F17751" w14:textId="77777777" w:rsidR="00A86428" w:rsidRDefault="00DE0607">
            <w:pPr>
              <w:spacing w:before="40" w:after="40" w:line="240" w:lineRule="auto"/>
              <w:jc w:val="left"/>
            </w:pPr>
            <w:r>
              <w:rPr>
                <w:rFonts w:ascii="Consolas" w:eastAsia="Consolas" w:hAnsi="Consolas" w:cs="Consolas"/>
                <w:sz w:val="18"/>
                <w:szCs w:val="18"/>
                <w:color w:val="202020"/>
              </w:rPr>
              <w:t>MySQL 8.x</w:t>
            </w:r>
            <w:r>
              <w:rPr>
                <w:sz w:val="18"/>
                <w:szCs w:val="18"/>
                <w:color w:val="202020"/>
              </w:rPr>
              <w:t xml:space="preserve"> sobre </w:t>
            </w:r>
            <w:r>
              <w:rPr>
                <w:rFonts w:ascii="Consolas" w:eastAsia="Consolas" w:hAnsi="Consolas" w:cs="Consolas"/>
                <w:sz w:val="18"/>
                <w:szCs w:val="18"/>
                <w:color w:val="202020"/>
              </w:rPr>
              <w:t>InnoDB Cluster</w:t>
            </w:r>
            <w:r>
              <w:rPr>
                <w:sz w:val="18"/>
                <w:szCs w:val="18"/>
                <w:color w:val="202020"/>
              </w:rPr>
              <w:t xml:space="preserve"> (Group Replication + MySQL Router). Motor de almacenamiento </w:t>
            </w:r>
            <w:r>
              <w:rPr>
                <w:rFonts w:ascii="Consolas" w:eastAsia="Consolas" w:hAnsi="Consolas" w:cs="Consolas"/>
                <w:sz w:val="18"/>
                <w:szCs w:val="18"/>
                <w:color w:val="202020"/>
              </w:rPr>
              <w:t>InnoDB</w:t>
            </w:r>
            <w:r>
              <w:rPr>
                <w:sz w:val="18"/>
                <w:szCs w:val="18"/>
                <w:color w:val="202020"/>
              </w:rPr>
              <w:t xml:space="preserve"> en todas las tablas.</w:t>
            </w:r>
          </w:p>
        </w:tc>
      </w:tr>
      <w:tr w:rsidR="00A86428" w14:paraId="4460D645" w14:textId="77777777">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shd w:val="clear" w:color="auto" w:fill="F7F9FC"/>
            <w:vAlign w:val="center"/>
          </w:tcPr>
          <w:p w14:paraId="29812312" w14:textId="77777777" w:rsidR="00A86428" w:rsidRDefault="00DE0607">
            <w:pPr>
              <w:spacing w:before="40" w:after="40" w:line="240" w:lineRule="auto"/>
              <w:jc w:val="left"/>
            </w:pPr>
            <w:r>
              <w:rPr>
                <w:sz w:val="18"/>
                <w:szCs w:val="18"/>
                <w:color w:val="202020"/>
              </w:rPr>
              <w:t>Identificadores (claves primarias)</w:t>
            </w:r>
          </w:p>
        </w:tc>
        <w:tc>
          <w:tcPr>
            <w:tcW w:w="67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shd w:val="clear" w:color="auto" w:fill="F7F9FC"/>
            <w:vAlign w:val="center"/>
          </w:tcPr>
          <w:p w14:paraId="63F5EB1A" w14:textId="77777777" w:rsidR="00A86428" w:rsidRDefault="00DE0607">
            <w:pPr>
              <w:spacing w:before="40" w:after="40" w:line="240" w:lineRule="auto"/>
              <w:jc w:val="left"/>
            </w:pPr>
            <w:r>
              <w:rPr>
                <w:rFonts w:ascii="Consolas" w:eastAsia="Consolas" w:hAnsi="Consolas" w:cs="Consolas"/>
                <w:sz w:val="18"/>
                <w:szCs w:val="18"/>
                <w:color w:val="202020"/>
              </w:rPr>
              <w:t>BIGINT UNSIGNED AUTO_INCREMENT</w:t>
            </w:r>
            <w:r>
              <w:rPr>
                <w:sz w:val="18"/>
                <w:szCs w:val="18"/>
                <w:color w:val="202020"/>
              </w:rPr>
              <w:t xml:space="preserve"> en todas las tablas. Toda tabla posee clave primaria explícita (requisito de Group Replication).</w:t>
            </w:r>
          </w:p>
        </w:tc>
      </w:tr>
      <w:tr w:rsidR="00A86428" w14:paraId="01E24AD1" w14:textId="77777777">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0AF44862" w14:textId="77777777" w:rsidR="00A86428" w:rsidRDefault="00DE0607">
            <w:pPr>
              <w:spacing w:before="40" w:after="40" w:line="240" w:lineRule="auto"/>
              <w:jc w:val="left"/>
            </w:pPr>
            <w:r>
              <w:rPr>
                <w:sz w:val="18"/>
                <w:szCs w:val="18"/>
                <w:color w:val="202020"/>
              </w:rPr>
              <w:t>Tipos de datos</w:t>
            </w:r>
          </w:p>
        </w:tc>
        <w:tc>
          <w:tcPr>
            <w:tcW w:w="67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5CCE9BA1" w14:textId="77777777" w:rsidR="00A86428" w:rsidRDefault="00DE0607">
            <w:pPr>
              <w:spacing w:before="40" w:after="40" w:line="240" w:lineRule="auto"/>
              <w:jc w:val="left"/>
            </w:pPr>
            <w:r>
              <w:rPr>
                <w:sz w:val="18"/>
                <w:szCs w:val="18"/>
                <w:color w:val="202020"/>
              </w:rPr>
              <w:t xml:space="preserve">Uso de </w:t>
            </w:r>
            <w:r>
              <w:rPr>
                <w:rFonts w:ascii="Consolas" w:eastAsia="Consolas" w:hAnsi="Consolas" w:cs="Consolas"/>
                <w:sz w:val="18"/>
                <w:szCs w:val="18"/>
                <w:color w:val="202020"/>
              </w:rPr>
              <w:t>ENUM</w:t>
            </w:r>
            <w:r>
              <w:rPr>
                <w:sz w:val="18"/>
                <w:szCs w:val="18"/>
                <w:color w:val="202020"/>
              </w:rPr>
              <w:t xml:space="preserve"> para estados y categorías controladas; </w:t>
            </w:r>
            <w:r>
              <w:rPr>
                <w:rFonts w:ascii="Consolas" w:eastAsia="Consolas" w:hAnsi="Consolas" w:cs="Consolas"/>
                <w:sz w:val="18"/>
                <w:szCs w:val="18"/>
                <w:color w:val="202020"/>
              </w:rPr>
              <w:t>DECIMAL</w:t>
            </w:r>
            <w:r>
              <w:rPr>
                <w:sz w:val="18"/>
                <w:szCs w:val="18"/>
                <w:color w:val="202020"/>
              </w:rPr>
              <w:t xml:space="preserve"> para magnitudes ambientales (temperatura, humedad, umbrales); </w:t>
            </w:r>
            <w:r>
              <w:rPr>
                <w:rFonts w:ascii="Consolas" w:eastAsia="Consolas" w:hAnsi="Consolas" w:cs="Consolas"/>
                <w:sz w:val="18"/>
                <w:szCs w:val="18"/>
                <w:color w:val="202020"/>
              </w:rPr>
              <w:t>JSON</w:t>
            </w:r>
            <w:r>
              <w:rPr>
                <w:sz w:val="18"/>
                <w:szCs w:val="18"/>
                <w:color w:val="202020"/>
              </w:rPr>
              <w:t xml:space="preserve"> para contenido semiestructurado; </w:t>
            </w:r>
            <w:r>
              <w:rPr>
                <w:rFonts w:ascii="Consolas" w:eastAsia="Consolas" w:hAnsi="Consolas" w:cs="Consolas"/>
                <w:sz w:val="18"/>
                <w:szCs w:val="18"/>
                <w:color w:val="202020"/>
              </w:rPr>
              <w:t>VARCHAR/TEXT</w:t>
            </w:r>
            <w:r>
              <w:rPr>
                <w:sz w:val="18"/>
                <w:szCs w:val="18"/>
                <w:color w:val="202020"/>
              </w:rPr>
              <w:t xml:space="preserve"> para texto.</w:t>
            </w:r>
          </w:p>
        </w:tc>
      </w:tr>
      <w:tr w:rsidR="00A86428" w14:paraId="10EE9BAD" w14:textId="77777777">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shd w:val="clear" w:color="auto" w:fill="F7F9FC"/>
            <w:vAlign w:val="center"/>
          </w:tcPr>
          <w:p w14:paraId="4FC38787" w14:textId="77777777" w:rsidR="00A86428" w:rsidRDefault="00DE0607">
            <w:pPr>
              <w:spacing w:before="40" w:after="40" w:line="240" w:lineRule="auto"/>
              <w:jc w:val="left"/>
            </w:pPr>
            <w:r>
              <w:rPr>
                <w:sz w:val="18"/>
                <w:szCs w:val="18"/>
                <w:color w:val="202020"/>
              </w:rPr>
              <w:t>Zonas horarias</w:t>
            </w:r>
          </w:p>
        </w:tc>
        <w:tc>
          <w:tcPr>
            <w:tcW w:w="67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shd w:val="clear" w:color="auto" w:fill="F7F9FC"/>
            <w:vAlign w:val="center"/>
          </w:tcPr>
          <w:p w14:paraId="36368B7A" w14:textId="77777777" w:rsidR="00A86428" w:rsidRDefault="00DE0607">
            <w:pPr>
              <w:spacing w:before="40" w:after="40" w:line="240" w:lineRule="auto"/>
              <w:jc w:val="left"/>
            </w:pPr>
            <w:r>
              <w:rPr>
                <w:sz w:val="18"/>
                <w:szCs w:val="18"/>
                <w:color w:val="202020"/>
              </w:rPr>
              <w:t xml:space="preserve">Todas las fechas y horas en columnas </w:t>
            </w:r>
            <w:r>
              <w:rPr>
                <w:rFonts w:ascii="Consolas" w:eastAsia="Consolas" w:hAnsi="Consolas" w:cs="Consolas"/>
                <w:sz w:val="18"/>
                <w:szCs w:val="18"/>
                <w:color w:val="202020"/>
              </w:rPr>
              <w:t>DATETIME</w:t>
            </w:r>
            <w:r>
              <w:rPr>
                <w:sz w:val="18"/>
                <w:szCs w:val="18"/>
                <w:color w:val="202020"/>
              </w:rPr>
              <w:t xml:space="preserve">, persistidas por la aplicación en UTC (RNF-INT-02). No se utiliza </w:t>
            </w:r>
            <w:r>
              <w:rPr>
                <w:rFonts w:ascii="Consolas" w:eastAsia="Consolas" w:hAnsi="Consolas" w:cs="Consolas"/>
                <w:sz w:val="18"/>
                <w:szCs w:val="18"/>
                <w:color w:val="202020"/>
              </w:rPr>
              <w:t>TIMESTAMP</w:t>
            </w:r>
            <w:r>
              <w:rPr>
                <w:sz w:val="18"/>
                <w:szCs w:val="18"/>
                <w:color w:val="202020"/>
              </w:rPr>
              <w:t xml:space="preserve"> para evitar conversiones automáticas de zona horaria.</w:t>
            </w:r>
          </w:p>
        </w:tc>
      </w:tr>
      <w:tr w:rsidR="00A86428" w14:paraId="4B810C8E" w14:textId="77777777">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482B1C59" w14:textId="77777777" w:rsidR="00A86428" w:rsidRDefault="00DE0607">
            <w:pPr>
              <w:spacing w:before="40" w:after="40" w:line="240" w:lineRule="auto"/>
              <w:jc w:val="left"/>
            </w:pPr>
            <w:r>
              <w:rPr>
                <w:sz w:val="18"/>
                <w:szCs w:val="18"/>
                <w:color w:val="202020"/>
              </w:rPr>
              <w:t>Convenciones de nomenclatura</w:t>
            </w:r>
          </w:p>
        </w:tc>
        <w:tc>
          <w:tcPr>
            <w:tcW w:w="67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vAlign w:val="center"/>
          </w:tcPr>
          <w:p w14:paraId="5A642B7E" w14:textId="77777777" w:rsidR="00A86428" w:rsidRDefault="00DE0607">
            <w:pPr>
              <w:spacing w:before="40" w:after="40" w:line="240" w:lineRule="auto"/>
              <w:jc w:val="left"/>
            </w:pPr>
            <w:r>
              <w:rPr>
                <w:sz w:val="18"/>
                <w:szCs w:val="18"/>
                <w:color w:val="202020"/>
              </w:rPr>
              <w:t xml:space="preserve">Nombres en </w:t>
            </w:r>
            <w:r>
              <w:rPr>
                <w:rFonts w:ascii="Consolas" w:eastAsia="Consolas" w:hAnsi="Consolas" w:cs="Consolas"/>
                <w:sz w:val="18"/>
                <w:szCs w:val="18"/>
                <w:color w:val="202020"/>
              </w:rPr>
              <w:t>snake_case</w:t>
            </w:r>
            <w:r>
              <w:rPr>
                <w:sz w:val="18"/>
                <w:szCs w:val="18"/>
                <w:color w:val="202020"/>
              </w:rPr>
              <w:t xml:space="preserve">. Prefijos estandarizados: </w:t>
            </w:r>
            <w:r>
              <w:rPr>
                <w:rFonts w:ascii="Consolas" w:eastAsia="Consolas" w:hAnsi="Consolas" w:cs="Consolas"/>
                <w:sz w:val="18"/>
                <w:szCs w:val="18"/>
                <w:color w:val="202020"/>
              </w:rPr>
              <w:t>fk_</w:t>
            </w:r>
            <w:r>
              <w:rPr>
                <w:sz w:val="18"/>
                <w:szCs w:val="18"/>
                <w:color w:val="202020"/>
              </w:rPr>
              <w:t xml:space="preserve"> para claves foráneas, </w:t>
            </w:r>
            <w:r>
              <w:rPr>
                <w:rFonts w:ascii="Consolas" w:eastAsia="Consolas" w:hAnsi="Consolas" w:cs="Consolas"/>
                <w:sz w:val="18"/>
                <w:szCs w:val="18"/>
                <w:color w:val="202020"/>
              </w:rPr>
              <w:t>idx_</w:t>
            </w:r>
            <w:r>
              <w:rPr>
                <w:sz w:val="18"/>
                <w:szCs w:val="18"/>
                <w:color w:val="202020"/>
              </w:rPr>
              <w:t xml:space="preserve"> para índices y </w:t>
            </w:r>
            <w:r>
              <w:rPr>
                <w:rFonts w:ascii="Consolas" w:eastAsia="Consolas" w:hAnsi="Consolas" w:cs="Consolas"/>
                <w:sz w:val="18"/>
                <w:szCs w:val="18"/>
                <w:color w:val="202020"/>
              </w:rPr>
              <w:t>uq_</w:t>
            </w:r>
            <w:r>
              <w:rPr>
                <w:sz w:val="18"/>
                <w:szCs w:val="18"/>
                <w:color w:val="202020"/>
              </w:rPr>
              <w:t xml:space="preserve"> para restricciones de unicidad.</w:t>
            </w:r>
          </w:p>
        </w:tc>
      </w:tr>
      <w:tr w:rsidR="00A86428" w14:paraId="454573BF" w14:textId="77777777">
        <w:tc>
          <w:tcPr>
            <w:tcW w:w="2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shd w:val="clear" w:color="auto" w:fill="F7F9FC"/>
            <w:vAlign w:val="center"/>
          </w:tcPr>
          <w:p w14:paraId="1BE8CC48" w14:textId="77777777" w:rsidR="00A86428" w:rsidRDefault="00DE0607">
            <w:pPr>
              <w:spacing w:before="40" w:after="40" w:line="240" w:lineRule="auto"/>
              <w:jc w:val="left"/>
            </w:pPr>
            <w:r>
              <w:rPr>
                <w:sz w:val="18"/>
                <w:szCs w:val="18"/>
                <w:color w:val="202020"/>
              </w:rPr>
              <w:t>Codificación de caracteres</w:t>
            </w:r>
          </w:p>
        </w:tc>
        <w:tc>
          <w:tcPr>
            <w:tcW w:w="67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shd w:val="clear" w:color="auto" w:fill="F7F9FC"/>
            <w:vAlign w:val="center"/>
          </w:tcPr>
          <w:p w14:paraId="017DBCD4" w14:textId="77777777" w:rsidR="00A86428" w:rsidRDefault="00DE0607">
            <w:pPr>
              <w:spacing w:before="40" w:after="40" w:line="240" w:lineRule="auto"/>
              <w:jc w:val="left"/>
            </w:pPr>
            <w:r>
              <w:rPr>
                <w:rFonts w:ascii="Consolas" w:eastAsia="Consolas" w:hAnsi="Consolas" w:cs="Consolas"/>
                <w:sz w:val="18"/>
                <w:szCs w:val="18"/>
                <w:color w:val="202020"/>
              </w:rPr>
              <w:t>utf8mb4</w:t>
            </w:r>
            <w:r>
              <w:rPr>
                <w:sz w:val="18"/>
                <w:szCs w:val="18"/>
                <w:color w:val="202020"/>
              </w:rPr>
              <w:t xml:space="preserve"> con collation </w:t>
            </w:r>
            <w:r>
              <w:rPr>
                <w:rFonts w:ascii="Consolas" w:eastAsia="Consolas" w:hAnsi="Consolas" w:cs="Consolas"/>
                <w:sz w:val="18"/>
                <w:szCs w:val="18"/>
                <w:color w:val="202020"/>
              </w:rPr>
              <w:t>utf8mb4_0900_ai_ci</w:t>
            </w:r>
            <w:r>
              <w:rPr>
                <w:sz w:val="18"/>
                <w:szCs w:val="18"/>
                <w:color w:val="202020"/>
              </w:rPr>
              <w:t xml:space="preserve"> en todas las tablas.</w:t>
            </w:r>
          </w:p>
        </w:tc>
      </w:tr>
    </w:tbl>
    <w:p w14:paraId="5DAB6C7B" w14:textId="77777777" w:rsidR="00A86428" w:rsidRDefault="00A86428">
      <w:pPr>
        <w:spacing w:after="120" w:line="276" w:lineRule="auto"/>
        <w:jc w:val="both"/>
      </w:pPr>
    </w:p>
    <w:p w14:paraId="1B57C582" w14:textId="77777777" w:rsidR="00A86428" w:rsidRDefault="00DE0607">
      <w:pPr>
        <w:spacing w:after="120" w:line="276" w:lineRule="auto"/>
        <w:jc w:val="both"/>
      </w:pPr>
      <w:r>
        <w:rPr>
          <w:i/>
          <w:iCs/>
        </w:rPr>
        <w:t>Estos criterios son la referencia oficial del proyecto y prevalecen sobre cualquier definición tentativa anterior.</w:t>
      </w:r>
    </w:p>
    <w:p w14:paraId="2FA99468" w14:textId="77777777" w:rsidR="00A86428" w:rsidRDefault="00DE0607">
      <w:pPr>
        <w:pStyle w:val="heading10"/>
      </w:pPr>
      <w:r>
        <w:t>3. Relaciones entre entidades</w:t>
      </w:r>
    </w:p>
    <w:p w14:paraId="0C6B3E5C" w14:textId="77777777" w:rsidR="00A86428" w:rsidRDefault="00DE0607">
      <w:pPr>
        <w:spacing w:after="120" w:line="276" w:lineRule="auto"/>
        <w:jc w:val="both"/>
      </w:pPr>
      <w:r>
        <w:t>Las relaciones del modelo se representan mediante diagramas entidad-relación, organizados por área funcional (activos y telemetría; intervenciones; personas y accesos; alertas y comunicaciones). Estos diagramas se incorporan como anexo una vez estabilizada la estructura de tablas.</w:t>
      </w:r>
    </w:p>
    <w:p w14:paraId="32009EC0" w14:textId="77777777" w:rsidR="00A86428" w:rsidRDefault="00DE0607">
      <w:pPr>
        <w:spacing w:after="120" w:line="276" w:lineRule="auto"/>
        <w:jc w:val="both"/>
      </w:pPr>
      <w:r>
        <w:t>De manera general, el modelo contempla las siguientes relaciones principales:</w:t>
      </w:r>
    </w:p>
    <w:p w14:paraId="0C81DF22" w14:textId="77777777" w:rsidR="00A86428" w:rsidRDefault="00DE0607">
      <w:pPr>
        <w:pStyle w:val="ListParagraph"/>
        <w:numPr>
          <w:ilvl w:val="0"/>
          <w:numId w:val="3"/>
        </w:numPr>
        <w:spacing w:after="60"/>
      </w:pPr>
      <w:r>
        <w:t>Entre activos y sus ubicaciones físicas (jerárquicas).</w:t>
      </w:r>
    </w:p>
    <w:p w14:paraId="6753ACA1" w14:textId="77777777" w:rsidR="00A86428" w:rsidRDefault="00DE0607">
      <w:pPr>
        <w:pStyle w:val="ListParagraph"/>
        <w:numPr>
          <w:ilvl w:val="0"/>
          <w:numId w:val="3"/>
        </w:numPr>
        <w:spacing w:after="60"/>
      </w:pPr>
      <w:r>
        <w:t>Entre sensores y las mediciones ambientales que capturan.</w:t>
      </w:r>
    </w:p>
    <w:p w14:paraId="575060DB" w14:textId="77777777" w:rsidR="00A86428" w:rsidRDefault="00DE0607">
      <w:pPr>
        <w:pStyle w:val="ListParagraph"/>
        <w:numPr>
          <w:ilvl w:val="0"/>
          <w:numId w:val="3"/>
        </w:numPr>
        <w:spacing w:after="60"/>
      </w:pPr>
      <w:r>
        <w:t>Entre solicitudes de intervención y los activos involucrados.</w:t>
      </w:r>
    </w:p>
    <w:p w14:paraId="7890E4B7" w14:textId="77777777" w:rsidR="00A86428" w:rsidRDefault="00DE0607">
      <w:pPr>
        <w:pStyle w:val="ListParagraph"/>
        <w:numPr>
          <w:ilvl w:val="0"/>
          <w:numId w:val="3"/>
        </w:numPr>
        <w:spacing w:after="60"/>
      </w:pPr>
      <w:r>
        <w:t>Entre personas, permisos y los puntos de acceso físico.</w:t>
      </w:r>
    </w:p>
    <w:p w14:paraId="3D94558D" w14:textId="77777777" w:rsidR="00A86428" w:rsidRDefault="00DE0607">
      <w:pPr>
        <w:pStyle w:val="ListParagraph"/>
        <w:numPr>
          <w:ilvl w:val="0"/>
          <w:numId w:val="3"/>
        </w:numPr>
        <w:spacing w:after="60"/>
      </w:pPr>
      <w:r>
        <w:t>Entre alertas y sus fuentes de origen (IoT, biometría y sistemas externos).</w:t>
      </w:r>
    </w:p>
    <w:p w14:paraId="2E572927" w14:textId="77777777" w:rsidR="00A86428" w:rsidRDefault="00DE0607">
      <w:pPr>
        <w:pStyle w:val="heading10"/>
      </w:pPr>
      <w:r>
        <w:t>4. Diccionario de datos</w:t>
      </w:r>
    </w:p>
    <w:p w14:paraId="2B7D1613" w14:textId="77777777" w:rsidR="00A86428" w:rsidRDefault="00DE0607">
      <w:pPr>
        <w:spacing w:after="120" w:line="276" w:lineRule="auto"/>
        <w:jc w:val="both"/>
      </w:pPr>
      <w:r>
        <w:t>El diccionario de datos —con el detalle de tablas, campos, tipos, claves y restricciones— se elabora en conjunto con el diseño definitivo del modelo, siguiendo los criterios técnicos de la Sección 2. Las tablas se agrupan en las siguientes categorías:</w:t>
      </w:r>
    </w:p>
    <w:p w14:paraId="432F7AEC" w14:textId="77777777" w:rsidR="00A86428" w:rsidRDefault="00DE0607">
      <w:pPr>
        <w:pStyle w:val="ListParagraph"/>
        <w:numPr>
          <w:ilvl w:val="0"/>
          <w:numId w:val="3"/>
        </w:numPr>
        <w:spacing w:after="60"/>
      </w:pPr>
      <w:r>
        <w:t>Usuarios.</w:t>
      </w:r>
    </w:p>
    <w:p w14:paraId="0B75904D" w14:textId="77777777" w:rsidR="00A86428" w:rsidRDefault="00DE0607">
      <w:pPr>
        <w:pStyle w:val="ListParagraph"/>
        <w:numPr>
          <w:ilvl w:val="0"/>
          <w:numId w:val="3"/>
        </w:numPr>
        <w:spacing w:after="60"/>
      </w:pPr>
      <w:r>
        <w:t>Ubicaciones y activos.</w:t>
      </w:r>
    </w:p>
    <w:p w14:paraId="725CFD6E" w14:textId="77777777" w:rsidR="00A86428" w:rsidRDefault="00DE0607">
      <w:pPr>
        <w:pStyle w:val="ListParagraph"/>
        <w:numPr>
          <w:ilvl w:val="0"/>
          <w:numId w:val="3"/>
        </w:numPr>
        <w:spacing w:after="60"/>
      </w:pPr>
      <w:r>
        <w:t>Sensores y mediciones ambientales.</w:t>
      </w:r>
    </w:p>
    <w:p w14:paraId="188620BC" w14:textId="77777777" w:rsidR="00A86428" w:rsidRDefault="00DE0607">
      <w:pPr>
        <w:pStyle w:val="ListParagraph"/>
        <w:numPr>
          <w:ilvl w:val="0"/>
          <w:numId w:val="3"/>
        </w:numPr>
        <w:spacing w:after="60"/>
      </w:pPr>
      <w:r>
        <w:t>Reglas de alerta y notificaciones.</w:t>
      </w:r>
    </w:p>
    <w:p w14:paraId="419665B5" w14:textId="77777777" w:rsidR="00A86428" w:rsidRDefault="00DE0607">
      <w:pPr>
        <w:pStyle w:val="ListParagraph"/>
        <w:numPr>
          <w:ilvl w:val="0"/>
          <w:numId w:val="3"/>
        </w:numPr>
        <w:spacing w:after="60"/>
      </w:pPr>
      <w:r>
        <w:t>Personas, permisos y accesos físicos.</w:t>
      </w:r>
    </w:p>
    <w:p w14:paraId="347244D5" w14:textId="77777777" w:rsidR="00A86428" w:rsidRDefault="00DE0607">
      <w:pPr>
        <w:pStyle w:val="ListParagraph"/>
        <w:numPr>
          <w:ilvl w:val="0"/>
          <w:numId w:val="3"/>
        </w:numPr>
        <w:spacing w:after="60"/>
      </w:pPr>
      <w:r>
        <w:t>Intervenciones y bitácoras asociadas.</w:t>
      </w:r>
    </w:p>
    <w:p w14:paraId="45262A45" w14:textId="77777777" w:rsidR="00A86428" w:rsidRDefault="00DE0607">
      <w:pPr>
        <w:pStyle w:val="ListParagraph"/>
        <w:numPr>
          <w:ilvl w:val="0"/>
          <w:numId w:val="3"/>
        </w:numPr>
        <w:spacing w:after="60"/>
      </w:pPr>
      <w:r>
        <w:t>Integraciones con sistemas externos.</w:t>
      </w:r>
    </w:p>
    <w:p w14:paraId="1E93085A" w14:textId="77777777" w:rsidR="00A86428" w:rsidRDefault="00DE0607">
      <w:pPr>
        <w:spacing w:after="120" w:line="276" w:lineRule="auto"/>
        <w:jc w:val="both"/>
      </w:pPr>
      <w:r>
        <w:t>Cada tabla define sus campos, tipos de datos, claves primarias y foráneas, restricciones de unicidad y reglas de negocio específicas, conforme a las convenciones adoptadas.</w:t>
      </w:r>
    </w:p>
    <w:p w14:paraId="2DF372D6" w14:textId="77777777" w:rsidR="00A86428" w:rsidRDefault="00DE0607">
      <w:pPr>
        <w:pStyle w:val="heading10"/>
      </w:pPr>
      <w:r>
        <w:t>5. Integridad y estados</w:t>
      </w:r>
    </w:p>
    <w:p w14:paraId="29B759F1" w14:textId="77777777" w:rsidR="00A86428" w:rsidRDefault="4A4461CE">
      <w:pPr>
        <w:spacing w:after="120" w:line="276" w:lineRule="auto"/>
        <w:jc w:val="both"/>
      </w:pPr>
      <w:r>
        <w:t>Se aplican principios de integridad de datos: validación de rangos, control de estados y consistencia referencial entre tablas relacionadas. La integridad referencial se garantiza mediante claves foráneas con la siguiente política:</w:t>
      </w:r>
    </w:p>
    <w:p w14:paraId="438B6147" w14:textId="77777777" w:rsidR="00A86428" w:rsidRDefault="4A4461CE">
      <w:pPr>
        <w:pStyle w:val="ListParagraph"/>
        <w:numPr>
          <w:ilvl w:val="0"/>
          <w:numId w:val="3"/>
        </w:numPr>
        <w:spacing w:after="60"/>
      </w:pPr>
      <w:r>
        <w:rPr>
          <w:b/>
          <w:bCs/>
        </w:rPr>
        <w:t>ON DELETE RESTRICT</w:t>
      </w:r>
      <w:r>
        <w:t xml:space="preserve"> por defecto, para impedir eliminaciones que dejen registros huérfanos.</w:t>
      </w:r>
    </w:p>
    <w:p w14:paraId="58E29929" w14:textId="77777777" w:rsidR="00A86428" w:rsidRDefault="4A4461CE">
      <w:pPr>
        <w:pStyle w:val="ListParagraph"/>
        <w:numPr>
          <w:ilvl w:val="0"/>
          <w:numId w:val="3"/>
        </w:numPr>
        <w:spacing w:after="60"/>
      </w:pPr>
      <w:r>
        <w:rPr>
          <w:b/>
          <w:bCs/>
        </w:rPr>
        <w:t>ON DELETE CASCADE</w:t>
      </w:r>
      <w:r>
        <w:t xml:space="preserve"> donde una entidad hija carece de sentido sin su padre (por ejemplo, las ventanas horarias de un permiso de acceso).</w:t>
      </w:r>
    </w:p>
    <w:p w14:paraId="1B5951DC" w14:textId="77777777" w:rsidR="00A86428" w:rsidRDefault="4A4461CE">
      <w:pPr>
        <w:pStyle w:val="ListParagraph"/>
        <w:numPr>
          <w:ilvl w:val="0"/>
          <w:numId w:val="3"/>
        </w:numPr>
        <w:spacing w:after="60"/>
      </w:pPr>
      <w:r>
        <w:rPr>
          <w:b/>
          <w:bCs/>
        </w:rPr>
        <w:t>ON DELETE SET NULL</w:t>
      </w:r>
      <w:r>
        <w:t xml:space="preserve"> en relaciones opcionales que pueden desvincularse conservando el registro histórico.</w:t>
      </w:r>
    </w:p>
    <w:p w14:paraId="747484FF" w14:textId="77777777" w:rsidR="00A86428" w:rsidRDefault="4A4461CE">
      <w:pPr>
        <w:spacing w:after="120" w:line="276" w:lineRule="auto"/>
        <w:jc w:val="both"/>
      </w:pPr>
      <w:r>
        <w:t>Los estados específicos de cada entidad (activos, alertas, intervenciones, permisos, entre otros) se implementan mediante columnas de tipo ENUM, lo que restringe los valores válidos a nivel de motor. Las transiciones entre estados se controlan en la capa de aplicación.</w:t>
      </w:r>
    </w:p>
    <w:p w14:paraId="03BE9933" w14:textId="77777777" w:rsidR="00A86428" w:rsidRDefault="4A4461CE">
      <w:pPr>
        <w:pStyle w:val="heading10"/>
      </w:pPr>
      <w:r>
        <w:t>6. Concurrencia y ventanas de trabajo</w:t>
      </w:r>
    </w:p>
    <w:p w14:paraId="55D4B419" w14:textId="77777777" w:rsidR="00A86428" w:rsidRDefault="4A4461CE">
      <w:pPr>
        <w:spacing w:after="120" w:line="276" w:lineRule="auto"/>
        <w:jc w:val="both"/>
      </w:pPr>
      <w:r>
        <w:t>El modelo considera mecanismos para el acceso concurrente a la información, con foco en la planificación y ejecución de intervenciones. En particular:</w:t>
      </w:r>
    </w:p>
    <w:p w14:paraId="76EBB02A" w14:textId="77777777" w:rsidR="00A86428" w:rsidRDefault="4A4461CE">
      <w:pPr>
        <w:pStyle w:val="ListParagraph"/>
        <w:numPr>
          <w:ilvl w:val="0"/>
          <w:numId w:val="3"/>
        </w:numPr>
        <w:spacing w:after="60"/>
      </w:pPr>
      <w:r>
        <w:t>Detección de solapamientos de reservas de recurso por activo o ubicación y rango de fechas, apoyada en índices específicos. La validación de cruce de horarios se resuelve en la capa de aplicación, dado que MySQL no ofrece restricciones de exclusión por rango de forma nativa.</w:t>
      </w:r>
    </w:p>
    <w:p w14:paraId="07421A92" w14:textId="77777777" w:rsidR="00A86428" w:rsidRDefault="4A4461CE">
      <w:pPr>
        <w:pStyle w:val="ListParagraph"/>
        <w:numPr>
          <w:ilvl w:val="0"/>
          <w:numId w:val="3"/>
        </w:numPr>
        <w:spacing w:after="60"/>
      </w:pPr>
      <w:r>
        <w:t>Control de versiones en entidades sujetas a cambios controlados (por ejemplo, umbrales ambientales y reglas de alerta), mediante un atributo de versión.</w:t>
      </w:r>
    </w:p>
    <w:p w14:paraId="1D5C71D0" w14:textId="77777777" w:rsidR="00A86428" w:rsidRDefault="4A4461CE">
      <w:pPr>
        <w:pStyle w:val="heading10"/>
      </w:pPr>
      <w:r>
        <w:t>7. Seguridad, consultas y validación</w:t>
      </w:r>
    </w:p>
    <w:p w14:paraId="30F06A1E" w14:textId="77777777" w:rsidR="00A86428" w:rsidRDefault="00DE0607">
      <w:pPr>
        <w:spacing w:after="120" w:line="276" w:lineRule="auto"/>
        <w:jc w:val="both"/>
      </w:pPr>
      <w:r>
        <w:t>Se aplican lineamientos de seguridad alineados con los requerimientos:</w:t>
      </w:r>
    </w:p>
    <w:p w14:paraId="169CF276" w14:textId="77777777" w:rsidR="00A86428" w:rsidRDefault="00DE0607">
      <w:pPr>
        <w:pStyle w:val="ListParagraph"/>
        <w:numPr>
          <w:ilvl w:val="0"/>
          <w:numId w:val="3"/>
        </w:numPr>
        <w:spacing w:after="60"/>
      </w:pPr>
      <w:r>
        <w:t>Uso de cuentas de servicio diferenciadas y restricción de accesos según rol.</w:t>
      </w:r>
    </w:p>
    <w:p w14:paraId="4266320A" w14:textId="77777777" w:rsidR="00A86428" w:rsidRDefault="00DE0607">
      <w:pPr>
        <w:pStyle w:val="ListParagraph"/>
        <w:numPr>
          <w:ilvl w:val="0"/>
          <w:numId w:val="3"/>
        </w:numPr>
        <w:spacing w:after="60"/>
      </w:pPr>
      <w:r>
        <w:rPr>
          <w:b/>
          <w:bCs/>
        </w:rPr>
        <w:t xml:space="preserve">Protección de información sensible: </w:t>
      </w:r>
      <w:r>
        <w:t>las credenciales y claves de dispositivo se almacenan como hash o como referencia a un secreto externo, nunca en texto claro.</w:t>
      </w:r>
    </w:p>
    <w:p w14:paraId="65B9F2FE" w14:textId="77777777" w:rsidR="00A86428" w:rsidRDefault="00DE0607">
      <w:pPr>
        <w:pStyle w:val="ListParagraph"/>
        <w:numPr>
          <w:ilvl w:val="0"/>
          <w:numId w:val="3"/>
        </w:numPr>
        <w:spacing w:after="60"/>
      </w:pPr>
      <w:r>
        <w:rPr>
          <w:b/>
          <w:bCs/>
        </w:rPr>
        <w:t xml:space="preserve">Tablas de solo inserción (append-only): </w:t>
      </w:r>
      <w:r>
        <w:t>determinadas tablas de registro histórico (por ejemplo, mediciones y eventos de acceso) se tratan como inmutables. La restricción de UPDATE/DELETE se aplica mediante permisos de la cuenta de aplicación en la capa de acceso a datos, ya que MySQL no lo impide por tabla de forma nativa.</w:t>
      </w:r>
    </w:p>
    <w:p w14:paraId="01D2E551" w14:textId="77777777" w:rsidR="00A86428" w:rsidRDefault="00DE0607">
      <w:pPr>
        <w:spacing w:after="120" w:line="276" w:lineRule="auto"/>
        <w:jc w:val="both"/>
      </w:pPr>
      <w:r>
        <w:t>Asimismo, se prevé disponer de vistas o reportes para fines analíticos. Las definiciones concretas y las pruebas de validación se abordan en la fase de implementación del modelo.</w:t>
      </w:r>
    </w:p>
    <w:p w14:paraId="4E1F9A16" w14:textId="77777777" w:rsidR="00A86428" w:rsidRDefault="00DE0607">
      <w:pPr>
        <w:pStyle w:val="heading10"/>
      </w:pPr>
      <w:r>
        <w:t>Referencias</w:t>
      </w:r>
    </w:p>
    <w:p w14:paraId="7F1B89FF" w14:textId="77777777" w:rsidR="00A86428" w:rsidRDefault="00DE0607">
      <w:pPr>
        <w:spacing w:after="120" w:line="276" w:lineRule="auto"/>
        <w:jc w:val="both"/>
      </w:pPr>
      <w:r>
        <w:t>Equipo SICMA. (2026). Documento de requerimientos; Documento de casos de uso; Documento de diagrama de clases; Documento de diagramas de actividad [Documentos académicos internos].</w:t>
      </w:r>
    </w:p>
    <w:p>
      <w:pPr>
        <w:sectPr w:rsidR="00A86428">
          <w:footerReference w:type="default" r:id="rIdFtr"/>
          <w:footerReference w:type="first" r:id="rIdFtrFirst"/>
          <w:headerReference w:type="default" r:id="rIdHdr"/>
          <w:headerReference w:type="first" r:id="rIdHdrFirst"/>
          <w:pgSz w:w="11906" w:h="16838"/>
          <w:pgMar w:top="1134" w:right="1417" w:bottom="1134" w:left="1417" w:header="567" w:footer="567" w:gutter="0"/>
          <w:cols w:space="720"/>
          <w:docGrid w:linePitch="360"/>
          <w:titlePg/>
        </w:sectPr>
      </w:pPr>
    </w:p>
    <w:p>
      <w:pPr>
        <w:pStyle w:val="heading10"/>
        <w:keepNext/>
        <w:keepLines/>
        <w:spacing w:before="60" w:after="80"/>
      </w:pPr>
      <w:r>
        <w:rPr/>
        <w:t xml:space="preserve">Anexo A. Diagrama entidad-relación</w:t>
      </w:r>
    </w:p>
    <w:p>
      <w:pPr>
        <w:keepNext/>
        <w:keepLines/>
        <w:spacing w:before="60" w:after="80"/>
      </w:pPr>
      <w:r>
        <w:rPr>
          <w:color w:val="202020"/>
          <w:sz w:val="21"/>
          <w:szCs w:val="21"/>
        </w:rPr>
        <w:t xml:space="preserve">Modelo relacional de SICMA sobre MySQL 8.x. Las 25 tablas corresponden una a una con las clases del documento de diagrama de clases, según la sección 5.1 de ese documento.</w:t>
      </w:r>
    </w:p>
    <w:p xmlns:a="http://schemas.openxmlformats.org/drawingml/2006/main" xmlns:pic="http://schemas.openxmlformats.org/drawingml/2006/picture">
      <w:pPr>
        <w:keepNext/>
        <w:jc w:val="center"/>
        <w:spacing w:before="60" w:after="60"/>
      </w:pPr>
      <w:r>
        <w:drawing>
          <wp:inline distT="0" distB="0" distL="0" distR="0">
            <wp:extent cx="6396142" cy="4709160"/>
            <wp:effectExtent l="0" t="0" r="0" b="0"/>
            <wp:docPr id="950" name="DiagramaER" descr="Diagrama entidad-relacion de SICMA"/>
            <wp:cNvGraphicFramePr>
              <a:graphicFrameLocks noChangeAspect="1"/>
            </wp:cNvGraphicFramePr>
            <a:graphic>
              <a:graphicData uri="http://schemas.openxmlformats.org/drawingml/2006/picture">
                <pic:pic>
                  <pic:nvPicPr>
                    <pic:cNvPr id="950" name="mer.jpg"/>
                    <pic:cNvPicPr/>
                  </pic:nvPicPr>
                  <pic:blipFill>
                    <a:blip r:embed="rIdDiagramaER"/>
                    <a:stretch>
                      <a:fillRect/>
                    </a:stretch>
                  </pic:blipFill>
                  <pic:spPr>
                    <a:xfrm>
                      <a:off x="0" y="0"/>
                      <a:ext cx="6396142" cy="4709160"/>
                    </a:xfrm>
                    <a:prstGeom prst="rect">
                      <a:avLst/>
                    </a:prstGeom>
                  </pic:spPr>
                </pic:pic>
              </a:graphicData>
            </a:graphic>
          </wp:inline>
        </w:drawing>
      </w:r>
    </w:p>
    <w:p>
      <w:pPr>
        <w:jc w:val="center"/>
        <w:spacing w:before="60" w:after="80"/>
      </w:pPr>
      <w:r>
        <w:rPr>
          <w:i/>
          <w:color w:val="595959"/>
          <w:sz w:val="19"/>
          <w:szCs w:val="19"/>
        </w:rPr>
        <w:t xml:space="preserve">Figura 1. Diagrama entidad-relación de SICMA. Elaboración del equipo SICMA.</w:t>
      </w:r>
    </w:p>
    <w:sectPr w:rsidR="00A86428">
      <w:pgSz w:w="16838" w:h="11906" w:orient="landscape"/>
      <w:footerReference w:type="default" r:id="rIdFtr"/>
      <w:footerReference w:type="first" r:id="rIdFtrFirst"/>
      <w:headerReference w:type="default" r:id="rIdHdr"/>
      <w:headerReference w:type="first" r:id="rIdHdrFirst"/>
      <w:pgMar w:top="1134" w:right="1417" w:bottom="1134" w:left="141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1B538" w14:textId="77777777" w:rsidR="00CC4F4F" w:rsidRDefault="00CC4F4F">
      <w:r>
        <w:separator/>
      </w:r>
    </w:p>
  </w:endnote>
  <w:endnote w:type="continuationSeparator" w:id="0">
    <w:p w14:paraId="559ED3FB" w14:textId="77777777" w:rsidR="00CC4F4F" w:rsidRDefault="00CC4F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http://schemas.openxmlformats.org/wordprocessingml/2006/main">
  <w:p/>
</w:ftr>
</file>

<file path=word/footer2.xml><?xml version="1.0" encoding="utf-8"?>
<w:ftr xmlns:w="http://schemas.openxmlformats.org/wordprocessingml/2006/main">
  <w:p>
    <w:pPr>
      <w:jc w:val="center"/>
      <w:spacing w:after="0"/>
    </w:pPr>
    <w:r>
      <w:rPr>
        <w:sz w:val="16"/>
        <w:szCs w:val="16"/>
        <w:color w:val="808080"/>
      </w:rPr>
      <w:t xml:space="preserve">Página </w:t>
    </w:r>
    <w:r>
      <w:fldChar w:fldCharType="begin"/>
    </w:r>
    <w:r>
      <w:instrText xml:space="preserve"> PAGE </w:instrText>
    </w:r>
    <w:r>
      <w:fldChar w:fldCharType="separate"/>
    </w:r>
    <w:r>
      <w:t>1</w:t>
    </w:r>
    <w:r>
      <w:fldChar w:fldCharType="end"/>
    </w:r>
    <w:r>
      <w:rPr>
        <w:sz w:val="16"/>
        <w:szCs w:val="16"/>
        <w:color w:val="808080"/>
      </w:rPr>
      <w:t xml:space="preserve"> de </w:t>
    </w:r>
    <w:r>
      <w:fldChar w:fldCharType="begin"/>
    </w:r>
    <w:r>
      <w:instrText xml:space="preserve"> NUMPAGES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5455F" w14:textId="77777777" w:rsidR="00CC4F4F" w:rsidRDefault="00CC4F4F">
      <w:r>
        <w:separator/>
      </w:r>
    </w:p>
  </w:footnote>
  <w:footnote w:type="continuationSeparator" w:id="0">
    <w:p w14:paraId="60C947B4" w14:textId="77777777" w:rsidR="00CC4F4F" w:rsidRDefault="00CC4F4F">
      <w:r>
        <w:continuationSeparator/>
      </w:r>
    </w:p>
  </w:footnote>
</w:footnotes>
</file>

<file path=word/header1.xml><?xml version="1.0" encoding="utf-8"?>
<w:hdr xmlns:w="http://schemas.openxmlformats.org/wordprocessingml/2006/main">
  <w:p/>
</w:hdr>
</file>

<file path=word/header2.xml><?xml version="1.0" encoding="utf-8"?>
<w:hdr xmlns:w="http://schemas.openxmlformats.org/wordprocessingml/2006/main">
  <w:p>
    <w:pPr>
      <w:jc w:val="right"/>
      <w:pBdr>
        <w:bottom w:val="single" w:sz="6" w:space="4" w:color="BFBFBF"/>
      </w:pBdr>
      <w:spacing w:after="0"/>
    </w:pPr>
    <w:r>
      <w:rPr>
        <w:sz w:val="16"/>
        <w:szCs w:val="16"/>
        <w:color w:val="808080"/>
      </w:rPr>
      <w:t xml:space="preserve">SICMA · Modelo de Base de Datos · Duoc UC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494D4" w14:textId="3F0D040D" w:rsidR="00E90C7B" w:rsidRDefault="00E90C7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C56B96"/>
    <w:multiLevelType w:val="hybridMultilevel"/>
    <w:tmpl w:val="FFFFFFFF"/>
    <w:lvl w:ilvl="0" w:tplc="3132A968">
      <w:start w:val="1"/>
      <w:numFmt w:val="decimal"/>
      <w:lvlText w:val="%1."/>
      <w:lvlJc w:val="left"/>
      <w:pPr>
        <w:ind w:left="720" w:hanging="360"/>
      </w:pPr>
    </w:lvl>
    <w:lvl w:ilvl="1" w:tplc="86D87D44">
      <w:numFmt w:val="decimal"/>
      <w:lvlText w:val=""/>
      <w:lvlJc w:val="left"/>
    </w:lvl>
    <w:lvl w:ilvl="2" w:tplc="1FAA1296">
      <w:numFmt w:val="decimal"/>
      <w:lvlText w:val=""/>
      <w:lvlJc w:val="left"/>
    </w:lvl>
    <w:lvl w:ilvl="3" w:tplc="5948745E">
      <w:numFmt w:val="decimal"/>
      <w:lvlText w:val=""/>
      <w:lvlJc w:val="left"/>
    </w:lvl>
    <w:lvl w:ilvl="4" w:tplc="9C9EEBA8">
      <w:numFmt w:val="decimal"/>
      <w:lvlText w:val=""/>
      <w:lvlJc w:val="left"/>
    </w:lvl>
    <w:lvl w:ilvl="5" w:tplc="4768E570">
      <w:numFmt w:val="decimal"/>
      <w:lvlText w:val=""/>
      <w:lvlJc w:val="left"/>
    </w:lvl>
    <w:lvl w:ilvl="6" w:tplc="79F073C0">
      <w:numFmt w:val="decimal"/>
      <w:lvlText w:val=""/>
      <w:lvlJc w:val="left"/>
    </w:lvl>
    <w:lvl w:ilvl="7" w:tplc="0E5E859A">
      <w:numFmt w:val="decimal"/>
      <w:lvlText w:val=""/>
      <w:lvlJc w:val="left"/>
    </w:lvl>
    <w:lvl w:ilvl="8" w:tplc="0BF6215A">
      <w:numFmt w:val="decimal"/>
      <w:lvlText w:val=""/>
      <w:lvlJc w:val="left"/>
    </w:lvl>
  </w:abstractNum>
  <w:abstractNum w:abstractNumId="1" w15:restartNumberingAfterBreak="0">
    <w:nsid w:val="5C74F20A"/>
    <w:multiLevelType w:val="hybridMultilevel"/>
    <w:tmpl w:val="FFFFFFFF"/>
    <w:lvl w:ilvl="0" w:tplc="E884C3FC">
      <w:start w:val="1"/>
      <w:numFmt w:val="bullet"/>
      <w:lvlText w:val="●"/>
      <w:lvlJc w:val="left"/>
      <w:pPr>
        <w:ind w:left="720" w:hanging="360"/>
      </w:pPr>
    </w:lvl>
    <w:lvl w:ilvl="1" w:tplc="21BA5386">
      <w:start w:val="1"/>
      <w:numFmt w:val="bullet"/>
      <w:lvlText w:val="○"/>
      <w:lvlJc w:val="left"/>
      <w:pPr>
        <w:ind w:left="1440" w:hanging="360"/>
      </w:pPr>
    </w:lvl>
    <w:lvl w:ilvl="2" w:tplc="D38E7554">
      <w:start w:val="1"/>
      <w:numFmt w:val="bullet"/>
      <w:lvlText w:val="■"/>
      <w:lvlJc w:val="left"/>
      <w:pPr>
        <w:ind w:left="2160" w:hanging="360"/>
      </w:pPr>
    </w:lvl>
    <w:lvl w:ilvl="3" w:tplc="AB00D4B6">
      <w:start w:val="1"/>
      <w:numFmt w:val="bullet"/>
      <w:lvlText w:val="●"/>
      <w:lvlJc w:val="left"/>
      <w:pPr>
        <w:ind w:left="2880" w:hanging="360"/>
      </w:pPr>
    </w:lvl>
    <w:lvl w:ilvl="4" w:tplc="C6CE6240">
      <w:start w:val="1"/>
      <w:numFmt w:val="bullet"/>
      <w:lvlText w:val="○"/>
      <w:lvlJc w:val="left"/>
      <w:pPr>
        <w:ind w:left="3600" w:hanging="360"/>
      </w:pPr>
    </w:lvl>
    <w:lvl w:ilvl="5" w:tplc="A8A2EE8A">
      <w:start w:val="1"/>
      <w:numFmt w:val="bullet"/>
      <w:lvlText w:val="■"/>
      <w:lvlJc w:val="left"/>
      <w:pPr>
        <w:ind w:left="4320" w:hanging="360"/>
      </w:pPr>
    </w:lvl>
    <w:lvl w:ilvl="6" w:tplc="BF8C112A">
      <w:start w:val="1"/>
      <w:numFmt w:val="bullet"/>
      <w:lvlText w:val="●"/>
      <w:lvlJc w:val="left"/>
      <w:pPr>
        <w:ind w:left="5040" w:hanging="360"/>
      </w:pPr>
    </w:lvl>
    <w:lvl w:ilvl="7" w:tplc="C8642554">
      <w:start w:val="1"/>
      <w:numFmt w:val="bullet"/>
      <w:lvlText w:val="●"/>
      <w:lvlJc w:val="left"/>
      <w:pPr>
        <w:ind w:left="5760" w:hanging="360"/>
      </w:pPr>
    </w:lvl>
    <w:lvl w:ilvl="8" w:tplc="539A977E">
      <w:start w:val="1"/>
      <w:numFmt w:val="bullet"/>
      <w:lvlText w:val="●"/>
      <w:lvlJc w:val="left"/>
      <w:pPr>
        <w:ind w:left="6480" w:hanging="360"/>
      </w:pPr>
    </w:lvl>
  </w:abstractNum>
  <w:abstractNum w:abstractNumId="2" w15:restartNumberingAfterBreak="0">
    <w:nsid w:val="60E23539"/>
    <w:multiLevelType w:val="hybridMultilevel"/>
    <w:tmpl w:val="FFFFFFFF"/>
    <w:lvl w:ilvl="0" w:tplc="5442CF82">
      <w:start w:val="1"/>
      <w:numFmt w:val="bullet"/>
      <w:lvlText w:val="•"/>
      <w:lvlJc w:val="left"/>
      <w:pPr>
        <w:ind w:left="720" w:hanging="360"/>
      </w:pPr>
    </w:lvl>
    <w:lvl w:ilvl="1" w:tplc="593EF144">
      <w:numFmt w:val="decimal"/>
      <w:lvlText w:val=""/>
      <w:lvlJc w:val="left"/>
    </w:lvl>
    <w:lvl w:ilvl="2" w:tplc="816CAA54">
      <w:numFmt w:val="decimal"/>
      <w:lvlText w:val=""/>
      <w:lvlJc w:val="left"/>
    </w:lvl>
    <w:lvl w:ilvl="3" w:tplc="F0F47764">
      <w:numFmt w:val="decimal"/>
      <w:lvlText w:val=""/>
      <w:lvlJc w:val="left"/>
    </w:lvl>
    <w:lvl w:ilvl="4" w:tplc="CC9C1336">
      <w:numFmt w:val="decimal"/>
      <w:lvlText w:val=""/>
      <w:lvlJc w:val="left"/>
    </w:lvl>
    <w:lvl w:ilvl="5" w:tplc="792E7098">
      <w:numFmt w:val="decimal"/>
      <w:lvlText w:val=""/>
      <w:lvlJc w:val="left"/>
    </w:lvl>
    <w:lvl w:ilvl="6" w:tplc="D6A4086E">
      <w:numFmt w:val="decimal"/>
      <w:lvlText w:val=""/>
      <w:lvlJc w:val="left"/>
    </w:lvl>
    <w:lvl w:ilvl="7" w:tplc="CE041234">
      <w:numFmt w:val="decimal"/>
      <w:lvlText w:val=""/>
      <w:lvlJc w:val="left"/>
    </w:lvl>
    <w:lvl w:ilvl="8" w:tplc="C85AA2F4">
      <w:numFmt w:val="decimal"/>
      <w:lvlText w:val=""/>
      <w:lvlJc w:val="left"/>
    </w:lvl>
  </w:abstractNum>
  <w:num w:numId="1" w16cid:durableId="1887906772">
    <w:abstractNumId w:val="1"/>
    <w:lvlOverride w:ilvl="0">
      <w:startOverride w:val="1"/>
    </w:lvlOverride>
  </w:num>
  <w:num w:numId="2" w16cid:durableId="772434174">
    <w:abstractNumId w:val="0"/>
    <w:lvlOverride w:ilvl="0">
      <w:startOverride w:val="1"/>
    </w:lvlOverride>
  </w:num>
  <w:num w:numId="3" w16cid:durableId="14012442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A4461CE"/>
    <w:rsid w:val="0079445E"/>
    <w:rsid w:val="00A86428"/>
    <w:rsid w:val="00B07191"/>
    <w:rsid w:val="00CC4F4F"/>
    <w:rsid w:val="00DE0607"/>
    <w:rsid w:val="00E90C7B"/>
    <w:rsid w:val="143186BD"/>
    <w:rsid w:val="4A4461C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2CCDC142"/>
  <w15:docId w15:val="{BE2A15FD-D424-4C4B-A0A3-D2075A5C6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cs="Calibri" w:eastAsia="Calibri"/>
        <w:color w:val="202020"/>
        <w:sz w:val="22"/>
        <w:szCs w:val="22"/>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jc w:val="both"/>
    </w:pPr>
    <w:rPr>
      <w:rFonts w:ascii="Calibri" w:hAnsi="Calibri" w:cs="Calibri" w:eastAsia="Calibri"/>
      <w:color w:val="202020"/>
      <w:sz w:val="22"/>
      <w:szCs w:val="22"/>
    </w:rPr>
  </w:style>
  <w:style w:type="paragraph" w:styleId="Heading1">
    <w:name w:val="heading 1"/>
    <w:uiPriority w:val="9"/>
    <w:qFormat/>
    <w:pPr>
      <w:keepNext/>
      <w:keepLines/>
      <w:spacing w:before="360" w:after="200" w:line="276" w:lineRule="auto"/>
      <w:pBdr>
        <w:bottom w:val="single" w:sz="8" w:space="4" w:color="1F3864"/>
      </w:pBdr>
      <w:outlineLvl w:val="0"/>
    </w:pPr>
    <w:rPr>
      <w:rFonts w:ascii="Calibri" w:hAnsi="Calibri" w:cs="Calibri" w:eastAsia="Calibri"/>
      <w:b/>
      <w:bCs/>
      <w:color w:val="1F3864"/>
      <w:sz w:val="32"/>
      <w:szCs w:val="32"/>
    </w:rPr>
  </w:style>
  <w:style w:type="paragraph" w:styleId="Heading2">
    <w:name w:val="heading 2"/>
    <w:uiPriority w:val="9"/>
    <w:semiHidden/>
    <w:unhideWhenUsed/>
    <w:qFormat/>
    <w:pPr>
      <w:keepNext/>
      <w:keepLines/>
      <w:spacing w:before="280" w:after="140" w:line="276" w:lineRule="auto"/>
      <w:outlineLvl w:val="1"/>
    </w:pPr>
    <w:rPr>
      <w:rFonts w:ascii="Calibri" w:hAnsi="Calibri" w:cs="Calibri" w:eastAsia="Calibri"/>
      <w:b/>
      <w:bCs/>
      <w:color w:val="2E5C8A"/>
      <w:sz w:val="26"/>
      <w:szCs w:val="26"/>
    </w:rPr>
  </w:style>
  <w:style w:type="paragraph" w:styleId="Heading3">
    <w:name w:val="heading 3"/>
    <w:uiPriority w:val="9"/>
    <w:semiHidden/>
    <w:unhideWhenUsed/>
    <w:qFormat/>
    <w:pPr>
      <w:keepNext/>
      <w:keepLines/>
      <w:spacing w:before="220" w:after="120" w:line="276" w:lineRule="auto"/>
      <w:outlineLvl w:val="2"/>
    </w:pPr>
    <w:rPr>
      <w:rFonts w:ascii="Calibri" w:hAnsi="Calibri" w:cs="Calibri" w:eastAsia="Calibri"/>
      <w:b/>
      <w:bCs/>
      <w:color w:val="404040"/>
      <w:sz w:val="23"/>
      <w:szCs w:val="23"/>
    </w:rPr>
  </w:style>
  <w:style w:type="paragraph" w:styleId="Heading4">
    <w:name w:val="heading 4"/>
    <w:uiPriority w:val="9"/>
    <w:semiHidden/>
    <w:unhideWhenUsed/>
    <w:qFormat/>
    <w:pPr>
      <w:keepNext/>
      <w:keepLines/>
      <w:spacing w:before="200" w:after="100" w:line="276" w:lineRule="auto"/>
      <w:outlineLvl w:val="3"/>
    </w:pPr>
    <w:rPr>
      <w:rFonts w:ascii="Calibri" w:hAnsi="Calibri" w:cs="Calibri" w:eastAsia="Calibri"/>
      <w:b/>
      <w:bCs/>
      <w:color w:val="404040"/>
      <w:sz w:val="22"/>
      <w:szCs w:val="22"/>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qFormat/>
    <w:pPr>
      <w:keepNext/>
      <w:keepLines/>
      <w:spacing w:before="360" w:after="200" w:line="276" w:lineRule="auto"/>
      <w:pBdr>
        <w:bottom w:val="single" w:sz="8" w:space="4" w:color="1F3864"/>
      </w:pBdr>
      <w:outlineLvl w:val="0"/>
    </w:pPr>
    <w:rPr>
      <w:rFonts w:ascii="Calibri" w:hAnsi="Calibri" w:cs="Calibri" w:eastAsia="Calibri"/>
      <w:b/>
      <w:bCs/>
      <w:color w:val="1F3864"/>
      <w:sz w:val="32"/>
      <w:szCs w:val="32"/>
    </w:rPr>
  </w:style>
  <w:style w:type="paragraph" w:customStyle="1" w:styleId="heading20">
    <w:name w:val="heading 20"/>
    <w:qFormat/>
    <w:pPr>
      <w:keepNext/>
      <w:keepLines/>
      <w:spacing w:before="280" w:after="140" w:line="276" w:lineRule="auto"/>
      <w:outlineLvl w:val="1"/>
    </w:pPr>
    <w:rPr>
      <w:rFonts w:ascii="Calibri" w:hAnsi="Calibri" w:cs="Calibri" w:eastAsia="Calibri"/>
      <w:b/>
      <w:bCs/>
      <w:color w:val="2E5C8A"/>
      <w:sz w:val="26"/>
      <w:szCs w:val="26"/>
    </w:rPr>
  </w:style>
  <w:style w:type="paragraph" w:styleId="Header">
    <w:name w:val="header"/>
    <w:basedOn w:val="Normal"/>
    <w:link w:val="HeaderChar"/>
    <w:uiPriority w:val="99"/>
    <w:unhideWhenUsed/>
    <w:rsid w:val="00E90C7B"/>
    <w:pPr>
      <w:tabs>
        <w:tab w:val="center" w:pos="4680"/>
        <w:tab w:val="right" w:pos="9360"/>
      </w:tabs>
    </w:pPr>
  </w:style>
  <w:style w:type="character" w:customStyle="1" w:styleId="HeaderChar">
    <w:name w:val="Header Char"/>
    <w:basedOn w:val="DefaultParagraphFont"/>
    <w:link w:val="Header"/>
    <w:uiPriority w:val="99"/>
    <w:rsid w:val="00E90C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3.xml"/><Relationship Id="rIdLogoSICMA" Type="http://schemas.openxmlformats.org/officeDocument/2006/relationships/image" Target="media/logoDuocSICMA.png"/><Relationship Id="rIdHdrFirst" Type="http://schemas.openxmlformats.org/officeDocument/2006/relationships/header" Target="header1.xml"/><Relationship Id="rIdHdr" Type="http://schemas.openxmlformats.org/officeDocument/2006/relationships/header" Target="header2.xml"/><Relationship Id="rIdFtrFirst" Type="http://schemas.openxmlformats.org/officeDocument/2006/relationships/footer" Target="footer1.xml"/><Relationship Id="rIdFtr" Type="http://schemas.openxmlformats.org/officeDocument/2006/relationships/footer" Target="footer2.xml"/><Relationship Id="rIdDiagramaER" Type="http://schemas.openxmlformats.org/officeDocument/2006/relationships/image" Target="media/diagramaER.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1072</Words>
  <Characters>6115</Characters>
  <Application>Microsoft Office Word</Application>
  <DocSecurity>0</DocSecurity>
  <Lines>50</Lines>
  <Paragraphs>14</Paragraphs>
  <ScaleCrop>false</ScaleCrop>
  <Company/>
  <LinksUpToDate>false</LinksUpToDate>
  <CharactersWithSpaces>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Modelo de base de datos v1.1</dc:title>
  <dc:creator>Alvaro Antonio Gonzalez Briones</dc:creator>
  <cp:lastModifiedBy>Alvaro Antonio Gonzalez Briones</cp:lastModifiedBy>
  <cp:revision>3</cp:revision>
  <dcterms:created xsi:type="dcterms:W3CDTF">2026-09-12T01:22:00Z</dcterms:created>
  <dcterms:modified xsi:type="dcterms:W3CDTF">2026-09-12T01:22:00Z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47dbd-8090-45a6-8618-d1bf833905a1_Enabled">
    <vt:lpwstr>true</vt:lpwstr>
  </property>
  <property fmtid="{D5CDD505-2E9C-101B-9397-08002B2CF9AE}" pid="3" name="MSIP_Label_61047dbd-8090-45a6-8618-d1bf833905a1_SetDate">
    <vt:lpwstr>2026-09-12T01:22:41Z</vt:lpwstr>
  </property>
  <property fmtid="{D5CDD505-2E9C-101B-9397-08002B2CF9AE}" pid="4" name="MSIP_Label_61047dbd-8090-45a6-8618-d1bf833905a1_Method">
    <vt:lpwstr>Privileged</vt:lpwstr>
  </property>
  <property fmtid="{D5CDD505-2E9C-101B-9397-08002B2CF9AE}" pid="5" name="MSIP_Label_61047dbd-8090-45a6-8618-d1bf833905a1_Name">
    <vt:lpwstr>61047dbd-8090-45a6-8618-d1bf833905a1</vt:lpwstr>
  </property>
  <property fmtid="{D5CDD505-2E9C-101B-9397-08002B2CF9AE}" pid="6" name="MSIP_Label_61047dbd-8090-45a6-8618-d1bf833905a1_SiteId">
    <vt:lpwstr>85599d7a-6793-4bdb-a7f9-348037d4e472</vt:lpwstr>
  </property>
  <property fmtid="{D5CDD505-2E9C-101B-9397-08002B2CF9AE}" pid="7" name="MSIP_Label_61047dbd-8090-45a6-8618-d1bf833905a1_ActionId">
    <vt:lpwstr>f6531635-80b8-4632-b1f8-75ce41f11958</vt:lpwstr>
  </property>
  <property fmtid="{D5CDD505-2E9C-101B-9397-08002B2CF9AE}" pid="8" name="MSIP_Label_61047dbd-8090-45a6-8618-d1bf833905a1_ContentBits">
    <vt:lpwstr>0</vt:lpwstr>
  </property>
  <property fmtid="{D5CDD505-2E9C-101B-9397-08002B2CF9AE}" pid="9" name="MSIP_Label_61047dbd-8090-45a6-8618-d1bf833905a1_Tag">
    <vt:lpwstr>10, 0, 1, 2</vt:lpwstr>
  </property>
</Properties>
</file>