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6</w:t>
      </w:r>
    </w:p>
    <w:p>
      <w:pPr>
        <w:pStyle w:val="toc2"/>
      </w:pPr>
      <w:r>
        <w:t>Área 2. Activos y ubicaciones</w:t>
      </w:r>
      <w:r>
        <w:tab/>
      </w:r>
      <w:r>
        <w:t>6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9</w:t>
      </w:r>
    </w:p>
    <w:p>
      <w:pPr>
        <w:pStyle w:val="toc1"/>
      </w:pPr>
      <w:r>
        <w:t>Relaciones</w:t>
      </w:r>
      <w:r>
        <w:tab/>
      </w:r>
      <w:r>
        <w:t>10</w:t>
      </w:r>
    </w:p>
    <w:p>
      <w:pPr>
        <w:pStyle w:val="toc1"/>
      </w:pPr>
      <w:r>
        <w:t>Restricciones e índices</w:t>
      </w:r>
      <w:r>
        <w:tab/>
      </w:r>
      <w:r>
        <w:t>11</w:t>
      </w:r>
    </w:p>
    <w:p>
      <w:pPr>
        <w:pStyle w:val="toc1"/>
      </w:pPr>
      <w:r>
        <w:t>Trazabilidad</w:t>
      </w:r>
      <w:r>
        <w:tab/>
      </w:r>
      <w:r>
        <w:t>12</w:t>
      </w:r>
    </w:p>
    <w:p>
      <w:pPr>
        <w:pStyle w:val="toc2"/>
      </w:pPr>
      <w:r>
        <w:t>De clase a tabla</w:t>
      </w:r>
      <w:r>
        <w:tab/>
      </w:r>
      <w:r>
        <w:t>12</w:t>
      </w:r>
    </w:p>
    <w:p>
      <w:pPr>
        <w:pStyle w:val="toc2"/>
      </w:pPr>
      <w:r>
        <w:t>De regla de integridad a base de datos</w:t>
      </w:r>
      <w:r>
        <w:tab/>
      </w:r>
      <w:r>
        <w:t>13</w:t>
      </w:r>
    </w:p>
    <w:p>
      <w:pPr>
        <w:pStyle w:val="toc2"/>
      </w:pPr>
      <w:r>
        <w:t>De caso de uso a tablas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18</w:t>
      </w:r>
    </w:p>
    <w:p>
      <w:pPr>
        <w:pStyle w:val="toc2"/>
      </w:pPr>
      <w:r>
        <w:t>Referencias</w:t>
      </w:r>
      <w:r>
        <w:tab/>
      </w:r>
      <w:r>
        <w:t>18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[9]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