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Requerimientos</w:t>
      </w:r>
    </w:p>
    <w:p>
      <w:pPr>
        <w:spacing w:before="0" w:after="0"/>
      </w:pPr>
      <w:r>
        <w:rPr>
          <w:b/>
          <w:color w:val="002840"/>
          <w:sz w:val="26"/>
        </w:rPr>
        <w:t>SICMA-REQ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Requerimientos</w:t>
      </w:r>
    </w:p>
    <w:p>
      <w:pPr>
        <w:pStyle w:val="Subtitle"/>
      </w:pPr>
      <w:r>
        <w:t>SICMA-REQ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2"/>
      </w:pPr>
      <w:r>
        <w:t>Fuera del alcance (Won’t, por ahora)</w:t>
      </w:r>
      <w:r>
        <w:tab/>
      </w:r>
      <w:r>
        <w:t>4</w:t>
      </w:r>
    </w:p>
    <w:p>
      <w:pPr>
        <w:pStyle w:val="toc1"/>
      </w:pPr>
      <w:r>
        <w:t>Descripción general</w:t>
      </w:r>
      <w:r>
        <w:tab/>
      </w:r>
      <w:r>
        <w:t>4</w:t>
      </w:r>
    </w:p>
    <w:p>
      <w:pPr>
        <w:pStyle w:val="toc2"/>
      </w:pPr>
      <w:r>
        <w:t>Perspectiva del producto</w:t>
      </w:r>
      <w:r>
        <w:tab/>
      </w:r>
      <w:r>
        <w:t>4</w:t>
      </w:r>
    </w:p>
    <w:p>
      <w:pPr>
        <w:pStyle w:val="toc2"/>
      </w:pPr>
      <w:r>
        <w:t>Funciones del producto</w:t>
      </w:r>
      <w:r>
        <w:tab/>
      </w:r>
      <w:r>
        <w:t>4</w:t>
      </w:r>
    </w:p>
    <w:p>
      <w:pPr>
        <w:pStyle w:val="toc2"/>
      </w:pPr>
      <w:r>
        <w:t>Usuarios y roles</w:t>
      </w:r>
      <w:r>
        <w:tab/>
      </w:r>
      <w:r>
        <w:t>5</w:t>
      </w:r>
    </w:p>
    <w:p>
      <w:pPr>
        <w:pStyle w:val="toc2"/>
      </w:pPr>
      <w:r>
        <w:t>Restricciones</w:t>
      </w:r>
      <w:r>
        <w:tab/>
      </w:r>
      <w:r>
        <w:t>5</w:t>
      </w:r>
    </w:p>
    <w:p>
      <w:pPr>
        <w:pStyle w:val="toc1"/>
      </w:pPr>
      <w:r>
        <w:t>Requerimientos funcionales</w:t>
      </w:r>
      <w:r>
        <w:tab/>
      </w:r>
      <w:r>
        <w:t>5</w:t>
      </w:r>
    </w:p>
    <w:p>
      <w:pPr>
        <w:pStyle w:val="toc2"/>
      </w:pPr>
      <w:r>
        <w:t>Identidad y acceso (RF-ID)</w:t>
      </w:r>
      <w:r>
        <w:tab/>
      </w:r>
      <w:r>
        <w:t>6</w:t>
      </w:r>
    </w:p>
    <w:p>
      <w:pPr>
        <w:pStyle w:val="toc2"/>
      </w:pPr>
      <w:r>
        <w:t>Activos (RF-ACT)</w:t>
      </w:r>
      <w:r>
        <w:tab/>
      </w:r>
      <w:r>
        <w:t>6</w:t>
      </w:r>
    </w:p>
    <w:p>
      <w:pPr>
        <w:pStyle w:val="toc2"/>
      </w:pPr>
      <w:r>
        <w:t>Catálogos (RF-CAT)</w:t>
      </w:r>
      <w:r>
        <w:tab/>
      </w:r>
      <w:r>
        <w:t>6</w:t>
      </w:r>
    </w:p>
    <w:p>
      <w:pPr>
        <w:pStyle w:val="toc2"/>
      </w:pPr>
      <w:r>
        <w:t>Monitoreo ambiental (RF-AMB)</w:t>
      </w:r>
      <w:r>
        <w:tab/>
      </w:r>
      <w:r>
        <w:t>7</w:t>
      </w:r>
    </w:p>
    <w:p>
      <w:pPr>
        <w:pStyle w:val="toc2"/>
      </w:pPr>
      <w:r>
        <w:t>Infraestructura (RF-INF)</w:t>
      </w:r>
      <w:r>
        <w:tab/>
      </w:r>
      <w:r>
        <w:t>7</w:t>
      </w:r>
    </w:p>
    <w:p>
      <w:pPr>
        <w:pStyle w:val="toc2"/>
      </w:pPr>
      <w:r>
        <w:t>Control de acceso físico (RF-ACC)</w:t>
      </w:r>
      <w:r>
        <w:tab/>
      </w:r>
      <w:r>
        <w:t>7</w:t>
      </w:r>
    </w:p>
    <w:p>
      <w:pPr>
        <w:pStyle w:val="toc2"/>
      </w:pPr>
      <w:r>
        <w:t>Intervenciones (RF-INT)</w:t>
      </w:r>
      <w:r>
        <w:tab/>
      </w:r>
      <w:r>
        <w:t>8</w:t>
      </w:r>
    </w:p>
    <w:p>
      <w:pPr>
        <w:pStyle w:val="toc2"/>
      </w:pPr>
      <w:r>
        <w:t>Inteligencia de negocio (RF-BI)</w:t>
      </w:r>
      <w:r>
        <w:tab/>
      </w:r>
      <w:r>
        <w:t>8</w:t>
      </w:r>
    </w:p>
    <w:p>
      <w:pPr>
        <w:pStyle w:val="toc2"/>
      </w:pPr>
      <w:r>
        <w:t>Plataforma (RF-PLT)</w:t>
      </w:r>
      <w:r>
        <w:tab/>
      </w:r>
      <w:r>
        <w:t>8</w:t>
      </w:r>
    </w:p>
    <w:p>
      <w:pPr>
        <w:pStyle w:val="toc1"/>
      </w:pPr>
      <w:r>
        <w:t>Requerimientos no funcionales</w:t>
      </w:r>
      <w:r>
        <w:tab/>
      </w:r>
      <w:r>
        <w:t>8</w:t>
      </w:r>
    </w:p>
    <w:p>
      <w:pPr>
        <w:pStyle w:val="toc1"/>
      </w:pPr>
      <w:r>
        <w:t>Interfaces externas</w:t>
      </w:r>
      <w:r>
        <w:tab/>
      </w:r>
      <w:r>
        <w:t>10</w:t>
      </w:r>
    </w:p>
    <w:p>
      <w:pPr>
        <w:pStyle w:val="toc1"/>
      </w:pPr>
      <w:r>
        <w:t>Requerimientos de datos</w:t>
      </w:r>
      <w:r>
        <w:tab/>
      </w:r>
      <w:r>
        <w:t>11</w:t>
      </w:r>
    </w:p>
    <w:p>
      <w:pPr>
        <w:pStyle w:val="toc1"/>
      </w:pPr>
      <w:r>
        <w:t>Matriz de permisos por rol</w:t>
      </w:r>
      <w:r>
        <w:tab/>
      </w:r>
      <w:r>
        <w:t>11</w:t>
      </w:r>
    </w:p>
    <w:p>
      <w:pPr>
        <w:pStyle w:val="toc1"/>
      </w:pPr>
      <w:r>
        <w:t>Reglas de negocio</w:t>
      </w:r>
      <w:r>
        <w:tab/>
      </w:r>
      <w:r>
        <w:t>12</w:t>
      </w:r>
    </w:p>
    <w:p>
      <w:pPr>
        <w:pStyle w:val="toc1"/>
      </w:pPr>
      <w:r>
        <w:t>Valores de referencia de los no funcionales</w:t>
      </w:r>
      <w:r>
        <w:tab/>
      </w:r>
      <w:r>
        <w:t>13</w:t>
      </w:r>
    </w:p>
    <w:p>
      <w:pPr>
        <w:pStyle w:val="toc1"/>
      </w:pPr>
      <w:r>
        <w:t>Criterios globales de aceptación</w:t>
      </w:r>
      <w:r>
        <w:tab/>
      </w:r>
      <w:r>
        <w:t>13</w:t>
      </w:r>
    </w:p>
    <w:p>
      <w:pPr>
        <w:pStyle w:val="toc1"/>
      </w:pPr>
      <w:r>
        <w:t>Historias de usuario</w:t>
      </w:r>
      <w:r>
        <w:tab/>
      </w:r>
      <w:r>
        <w:t>14</w:t>
      </w:r>
    </w:p>
    <w:p>
      <w:pPr>
        <w:pStyle w:val="toc1"/>
      </w:pPr>
      <w:r>
        <w:t>Verificación</w:t>
      </w:r>
      <w:r>
        <w:tab/>
      </w:r>
      <w:r>
        <w:t>15</w:t>
      </w:r>
    </w:p>
    <w:p>
      <w:pPr>
        <w:pStyle w:val="toc1"/>
      </w:pPr>
      <w:r>
        <w:t>Trazabilidad</w:t>
      </w:r>
      <w:r>
        <w:tab/>
      </w:r>
      <w:r>
        <w:t>16</w:t>
      </w:r>
    </w:p>
    <w:p>
      <w:pPr>
        <w:pStyle w:val="toc1"/>
      </w:pPr>
      <w:r>
        <w:t>Supuestos y pendientes</w:t>
      </w:r>
      <w:r>
        <w:tab/>
      </w:r>
      <w:r>
        <w:t>16</w:t>
      </w:r>
    </w:p>
    <w:p>
      <w:pPr>
        <w:pStyle w:val="toc1"/>
      </w:pPr>
      <w:r>
        <w:t>Glosario y referencias</w:t>
      </w:r>
      <w:r>
        <w:tab/>
      </w:r>
      <w:r>
        <w:t>17</w:t>
      </w:r>
    </w:p>
    <w:p>
      <w:pPr>
        <w:pStyle w:val="toc2"/>
      </w:pPr>
      <w:r>
        <w:t>Referencias</w:t>
      </w:r>
      <w:r>
        <w:tab/>
      </w:r>
      <w:r>
        <w:t>17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SICMA-REQ.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con 36 RF, 20 RNF y 21 historias de usuario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agregan matriz de permisos, reglas de negocio, valores de referencia de los RNF y criterios globales de aceptación, tomados de la documentación de la Fase 1. Se aclara que el problema es real y las pruebas son simuladas.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de negocio: la Jefatura aprueba las intervenciones y el Administrador asigna al Técnico. El key user deja de aprobar y asignar. Se ajustan roles, RF-INT-03, HU-15, HU-16, D-01 y glosario.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0.4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un flujo de Power Automate. Se actualiza RF-INT-03 y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</w:t>
            </w:r>
          </w:p>
        </w:tc>
      </w:tr>
    </w:tbl>
    <w:bookmarkEnd w:id="20"/>
    <w:bookmarkStart w:id="22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tiene 36 requerimientos funcionales, 20 no funcionales y 21 historias de usuario; 37 de los 56 requerimientos tienen prioridad Must.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especifica qué debe hacer SICMA para el departamento de TI de Carozzi, con la estructura de ISO/IEC/IEEE 29148, que reemplaza a IEEE 830. Sirve de base para los casos de uso, el modelo de datos, los mockups y las pruebas.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centraliza el inventario y el monitoreo de activos de un datacenter: temperatura y humedad, servidores, accesos e intervenciones. El despliegue productivo queda fuera del proyecto.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problema es real y es del departamento de TI de Carozzi. Las pruebas del proyecto se harán con datos y un entorno simulados.</w:t>
      </w:r>
    </w:p>
    <w:bookmarkStart w:id="21" w:name="fuera-del-alcance-wont-por-ahora"/>
    <w:p>
      <w:pPr>
        <w:pStyle w:val="Heading3"/>
      </w:pPr>
      <w:r>
        <w:t xml:space="preserve">Fuera del alcance (Won’t, por ahora)</w:t>
      </w:r>
    </w:p>
    <w:p>
      <w:pPr>
        <w:numPr>
          <w:ilvl w:val="0"/>
          <w:numId w:val="1001"/>
        </w:numPr>
        <w:pStyle w:val="Compact"/>
      </w:pPr>
      <w:r>
        <w:t xml:space="preserve">Despliegue productivo en un datacenter real o disponibilidad de nivel empresarial.</w:t>
      </w:r>
    </w:p>
    <w:p>
      <w:pPr>
        <w:numPr>
          <w:ilvl w:val="0"/>
          <w:numId w:val="1001"/>
        </w:numPr>
        <w:pStyle w:val="Compact"/>
      </w:pPr>
      <w:r>
        <w:t xml:space="preserve">Almacenar, comparar o procesar imágenes o plantillas de huellas dentro de SICMA.</w:t>
      </w:r>
    </w:p>
    <w:p>
      <w:pPr>
        <w:numPr>
          <w:ilvl w:val="0"/>
          <w:numId w:val="1001"/>
        </w:numPr>
        <w:pStyle w:val="Compact"/>
      </w:pPr>
      <w:r>
        <w:t xml:space="preserve">Accionar cerraduras, torniquetes, climatización, UPS, servidores u otros equipos.</w:t>
      </w:r>
    </w:p>
    <w:p>
      <w:pPr>
        <w:numPr>
          <w:ilvl w:val="0"/>
          <w:numId w:val="1001"/>
        </w:numPr>
        <w:pStyle w:val="Compact"/>
      </w:pPr>
      <w:r>
        <w:t xml:space="preserve">Reemplazar Zabbix como plataforma de monitoreo o Power BI como herramienta analítica.</w:t>
      </w:r>
    </w:p>
    <w:p>
      <w:pPr>
        <w:numPr>
          <w:ilvl w:val="0"/>
          <w:numId w:val="1001"/>
        </w:numPr>
        <w:pStyle w:val="Compact"/>
      </w:pPr>
      <w:r>
        <w:t xml:space="preserve">Mantenimiento predictivo con inteligencia artificial, compras, inventario financiero, depreciación o contabilidad de activos.</w:t>
      </w:r>
    </w:p>
    <w:p>
      <w:pPr>
        <w:numPr>
          <w:ilvl w:val="0"/>
          <w:numId w:val="1001"/>
        </w:numPr>
        <w:pStyle w:val="Compact"/>
      </w:pPr>
      <w:r>
        <w:t xml:space="preserve">Identificación de activos mediante código QR.</w:t>
      </w:r>
    </w:p>
    <w:p>
      <w:pPr>
        <w:numPr>
          <w:ilvl w:val="0"/>
          <w:numId w:val="1001"/>
        </w:numPr>
        <w:pStyle w:val="Compact"/>
      </w:pPr>
      <w:r>
        <w:t xml:space="preserve">Auditoría general, interfaz de administración de parámetros generales de instalación y respaldo lógico de la base de datos. Se conservan la trazabilidad específica y la configuración de negocio que exigen los requerimientos funcionales.</w:t>
      </w:r>
    </w:p>
    <w:p>
      <w:pPr>
        <w:numPr>
          <w:ilvl w:val="0"/>
          <w:numId w:val="1001"/>
        </w:numPr>
        <w:pStyle w:val="Compact"/>
      </w:pPr>
      <w:r>
        <w:t xml:space="preserve">Integración con directorios corporativos, SMS, WhatsApp u otros canales, salvo Microsoft Forms, Power Automate y el servidor SMTP.</w:t>
      </w:r>
    </w:p>
    <w:bookmarkEnd w:id="21"/>
    <w:bookmarkEnd w:id="22"/>
    <w:bookmarkStart w:id="27" w:name="descripción-general"/>
    <w:p>
      <w:pPr>
        <w:pStyle w:val="Heading2"/>
      </w:pPr>
      <w:r>
        <w:t xml:space="preserve">Descripción general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es un sistema nuevo e independiente que reúne en un solo lugar lo que hoy se administra por separado: activos, ambiente, infraestructura, accesos e intervenciones.</w:t>
      </w:r>
    </w:p>
    <w:bookmarkStart w:id="23" w:name="perspectiva-del-producto"/>
    <w:p>
      <w:pPr>
        <w:pStyle w:val="Heading3"/>
      </w:pPr>
      <w:r>
        <w:t xml:space="preserve">Perspectiva del producto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backend en Django y el clúster MySQL InnoDB de tres nodos funcionan on-prem. El frontend en Angular y la app móvil en Ionic están en la nube. Los sensores ESP32-S3 con DHT22 envían datos por WiFi y HTTP. SICMA se integra con Zabbix, Microsoft Forms, Power Automate, un servidor SMTP y Power BI. El diagrama de arquitectura está en el Documento de Diseño.</w:t>
      </w:r>
    </w:p>
    <w:bookmarkEnd w:id="23"/>
    <w:bookmarkStart w:id="24" w:name="funciones-del-producto"/>
    <w:p>
      <w:pPr>
        <w:pStyle w:val="Heading3"/>
      </w:pPr>
      <w:r>
        <w:t xml:space="preserve">Funciones del producto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 con JWT, cierra sesiones inactivas y limita lo que ve cada 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clasifica, busca y da de baja activos, con su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Mantiene zonas, dispositivos IoT, tipos, ubicaciones y responsables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lecturas de temperatura y humedad, las compara con umbrales y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infraestructura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Trae de Zabbix el estado de los servidores y registra sus problemas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 los intentos de ingreso del lector biométrico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solicitudes, las aprueba, las asigna y registra su ejecución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Deja los datos disponibles para los dashboards de 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Web para operar y app móvil solo para consultar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</w:tr>
    </w:tbl>
    <w:bookmarkEnd w:id="24"/>
    <w:bookmarkStart w:id="25" w:name="usuarios-y-roles"/>
    <w:p>
      <w:pPr>
        <w:pStyle w:val="Heading3"/>
      </w:pPr>
      <w:r>
        <w:t xml:space="preserve">Usuarios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o actor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 en SICMA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Crea, modifica y desactiva cuentas, asigna roles, asigna el Técnico a cada intervención aprobada y mantiene los catálogos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los dashboards con los indicadores de gestión y aprueba o rechaza las intervenciones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Opera la plataforma: activos, lecturas, eventos e intervenciones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consulta; no modifica 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a los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 el usuario del servicio a intervenir; no aprueba ni asigna, solo recibe avisos de las intervenciones que afectan su servicio (D-42)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Departamento de contratistas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a los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Enrola huellas y revoca permisos de 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funcional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por correo las alertas de su zona o activo</w:t>
            </w:r>
          </w:p>
        </w:tc>
      </w:tr>
    </w:tbl>
    <w:bookmarkEnd w:id="25"/>
    <w:bookmarkStart w:id="26" w:name="restricciones"/>
    <w:p>
      <w:pPr>
        <w:pStyle w:val="Heading3"/>
      </w:pPr>
      <w:r>
        <w:t xml:space="preserve">Restricciones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Django, Angular, Ionic, MySQL InnoDB Cluster, y ESP32-S3 con DHT22 por WiFi y HTTP.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Despliegue:</w:t>
      </w:r>
      <w:r>
        <w:t xml:space="preserve"> </w:t>
      </w:r>
      <w:r>
        <w:t xml:space="preserve">base de datos, backend y monitoreo on-prem; frontend y BI en la nube.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Plazo y recursos:</w:t>
      </w:r>
      <w:r>
        <w:t xml:space="preserve"> </w:t>
      </w:r>
      <w:r>
        <w:t xml:space="preserve">18 semanas, tres integrantes y sin presupuesto.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Power Automate y Microsoft Forms con licencia institucional; Zabbix y Power BI en versión gratuita.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Alcance:</w:t>
      </w:r>
      <w:r>
        <w:t xml:space="preserve"> </w:t>
      </w:r>
      <w:r>
        <w:t xml:space="preserve">lo listado como Won’t en el resumen.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dependencias abiertas están en Supuestos y pendientes.</w:t>
      </w:r>
    </w:p>
    <w:bookmarkEnd w:id="26"/>
    <w:bookmarkEnd w:id="27"/>
    <w:bookmarkStart w:id="37" w:name="requerimientos-funcionales"/>
    <w:p>
      <w:pPr>
        <w:pStyle w:val="Heading2"/>
      </w:pPr>
      <w:r>
        <w:t xml:space="preserve">Requerimientos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requerimiento tiene un identificador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RF-&lt;grupo&gt;-NN</w:t>
      </w:r>
      <w:r>
        <w:rPr>
          <w:sz w:val="22"/>
        </w:rPr>
        <w:t xml:space="preserve"> </w:t>
      </w:r>
      <w:r>
        <w:rPr>
          <w:sz w:val="22"/>
        </w:rPr>
        <w:t xml:space="preserve">y una prioridad MoSCoW (M = Must, S = Should). Son 36 en total: 25 Must y 11 Should.</w:t>
      </w:r>
    </w:p>
    <w:bookmarkStart w:id="28" w:name="identidad-y-acceso-rf-id"/>
    <w:p>
      <w:pPr>
        <w:pStyle w:val="Heading3"/>
      </w:pPr>
      <w:r>
        <w:t xml:space="preserve">Identidad y acceso (RF-ID)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autenticar a los usuarios con correo y contraseña, y entregar un token JWT.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recuperar la contraseña por correo.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obligar al cambio de contraseña según su antigüedad.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desactivar y consultar cuentas de usuario.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asignar a cada usuario uno de los roles Administrador, Jefatura, Técnico o Auditor.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restringir cada función según el rol del usuario.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28"/>
    <w:bookmarkStart w:id="29" w:name="activos-rf-act"/>
    <w:p>
      <w:pPr>
        <w:pStyle w:val="Heading3"/>
      </w:pPr>
      <w:r>
        <w:t xml:space="preserve">Activos (RF-ACT)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registrar, editar y consultar activos del datacenter.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buscar y filtrar activos por tipo, ubicación y estado.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mantener el historial de cambios de cada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asociar un activo a su ubicación y a su responsable.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29"/>
    <w:bookmarkStart w:id="30" w:name="catálogos-rf-cat"/>
    <w:p>
      <w:pPr>
        <w:pStyle w:val="Heading3"/>
      </w:pPr>
      <w:r>
        <w:t xml:space="preserve">Catálogos (RF-CAT)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consultar y desactivar zonas del datacenter.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registrar, editar, consultar y desactivar dispositivos IoT (ESP32-S3 con DHT22) y asociarlos a una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los tipos y estados de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las ubicaciones físicas.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los responsables de alerta por zona o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0"/>
    <w:bookmarkStart w:id="31" w:name="monitoreo-ambiental-rf-amb"/>
    <w:p>
      <w:pPr>
        <w:pStyle w:val="Heading3"/>
      </w:pPr>
      <w:r>
        <w:t xml:space="preserve">Monitoreo ambiental (RF-AMB)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lecturas de temperatura y humedad de los dispositivos IoT por HTTP.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almacenar cada lectura con su zona, dispositivo y fecha.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umbrales de temperatura y humedad por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generar una alerta cuando una lectura supere un umbral.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enviar la alerta por correo a los responsables de alerta de la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1"/>
    <w:bookmarkStart w:id="32" w:name="infraestructura-rf-inf"/>
    <w:p>
      <w:pPr>
        <w:pStyle w:val="Heading3"/>
      </w:pPr>
      <w:r>
        <w:t xml:space="preserve">Infraestructura (RF-INF)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consultar a Zabbix cada 1 minuto el estado de los servidores.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mostrar el estado de los servidores y registrar los eventos técnicos recibidos.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consultar el historial de eventos técnicos por servidor.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2"/>
    <w:bookmarkStart w:id="33" w:name="control-de-acceso-físico-rf-acc"/>
    <w:p>
      <w:pPr>
        <w:pStyle w:val="Heading3"/>
      </w:pPr>
      <w:r>
        <w:t xml:space="preserve">Control de acceso físico (RF-ACC)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registrar cada intento de acceso con usuario, fecha, resultado y lector. No almacena huellas.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asociar un usuario a su identificador de huella en el lector HID.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Auditor debe poder consultar y filtrar el registro de accesos.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3"/>
    <w:bookmarkStart w:id="34" w:name="intervenciones-rf-int"/>
    <w:p>
      <w:pPr>
        <w:pStyle w:val="Heading3"/>
      </w:pPr>
      <w:r>
        <w:t xml:space="preserve">Intervenciones (RF-INT)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solicitar una intervención mediante un formulario (Microsoft Forms).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la solicitud y registrarla con su estado inicial.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debe poder aprobar o rechazar la intervención en Microsoft Teams, con un flujo de Power Automate que entrega la decisión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avisar a los involucrados los cambios de estado de la intervención.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asignar un técnico y reflejar la intervención en el calendario compartido de Outlook.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debe poder registrar la ejecución y el cierre de la intervención.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4"/>
    <w:bookmarkStart w:id="35" w:name="inteligencia-de-negocio-rf-bi"/>
    <w:p>
      <w:pPr>
        <w:pStyle w:val="Heading3"/>
      </w:pPr>
      <w:r>
        <w:t xml:space="preserve">Inteligencia de negocio (RF-BI)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disponer los datos para que Power BI muestre dashboards de ambiente, infraestructura, accesos e intervenciones.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dashboards deben poder filtrarse por rango de fechas y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5"/>
    <w:bookmarkStart w:id="36" w:name="plataforma-rf-plt"/>
    <w:p>
      <w:pPr>
        <w:pStyle w:val="Heading3"/>
      </w:pPr>
      <w:r>
        <w:t xml:space="preserve">Plataforma (RF-PLT)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web (Angular) debe ofrecer todas las funciones según el rol.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móvil (Ionic) debe ofrecer solo consulta.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6"/>
    <w:bookmarkEnd w:id="37"/>
    <w:bookmarkStart w:id="38" w:name="requerimientos-no-funcionales"/>
    <w:p>
      <w:pPr>
        <w:pStyle w:val="Heading2"/>
      </w:pPr>
      <w:r>
        <w:t xml:space="preserve">Requerimientos no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Son 20: 12 Must y 8 Should. La columna Origen indica si el requerimiento viene de lo que el equipo declaró (Equipo) o es una propuesta de este documento que el equipo debe validar (Propuesta).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autenticación debe usar tokens JWT.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bloquear la cuenta tras intentos fallidos de ingreso.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Debe existir una política de contraseñas (complejidad y antigüedad máxima).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comunicación entre el frontend y el backend debe estar acotada a los orígenes autorizados.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puertos y accesos de los servidores deben estar acotados a los necesarios.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operativo y las aplicaciones deben mantenerse actualizados.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 comunicación debe usar TLS y las contraseñas deben almacenarse con hash.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endpoint debe verificar la autorización según el rol.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 revisar el sistema contra el OWASP Top 10.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debe funcionar en un clúster MySQL InnoDB de 3 nodos con un primary.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el servicio de escritura debe recuperarse en 60 segundos o menos, sin pérdida de datos confirmados.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 aceptada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ser intuitiva para los usuarios de TI.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cumplir WCAG 2.2 (nivel por definir, D-12) y evaluarse con la escala SUS.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y la base de datos deben estar on-premise, y el frontend web y móvil en la nube.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dispositivos IoT deben conectarse por WiFi y enviar datos por HTTP.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commit debe ejecutar integración continua en GitHub Actions con análisis de SonarQube.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deben ejecutar pruebas de inyección SQL sobre la 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tratamiento de datos personales debe cumplir la Ley 19.628. No se almacenan huellas. Falta verificar la Ley 21.719 (D-09).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RNF-MNT-01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API debe estar documentada con OpenAPI.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RNF-REN-01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debe consultar a Zabbix cada 1 minuto.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</w:tbl>
    <w:bookmarkEnd w:id="38"/>
    <w:bookmarkStart w:id="39" w:name="interfaces-externas"/>
    <w:p>
      <w:pPr>
        <w:pStyle w:val="Heading2"/>
      </w:pPr>
      <w:r>
        <w:t xml:space="preserve">Interfaces externas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Interfaz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Protocolo o medio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 API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HTTP por WiFi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RNF-DES-02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USB a un PC que compara la huella y envía el 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Mecanismo por definir (D-03)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lo consulta cada 1 minuto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RNF-REN-01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Definida, falta el método exacto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 y Power Automate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Mecanismo por definir (D-02)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 compartido de Outlook (Microsoft 365)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por definir (D-11)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de correo SMTP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SMTP desde Django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RF-AMB-05, RF-ID-02, RF-INT-04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desde la base de datos (supuesto)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confirmar (D-04, D-05)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y móvil a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 y 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HTTPS con JWT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RF-PLT-02, RNF-SEG-01, RNF-SEG-04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</w:tbl>
    <w:bookmarkEnd w:id="39"/>
    <w:bookmarkStart w:id="40" w:name="requerimientos-de-datos"/>
    <w:p>
      <w:pPr>
        <w:pStyle w:val="Heading2"/>
      </w:pPr>
      <w:r>
        <w:t xml:space="preserve">Requerimientos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Entidades que el sistema debe almacenar. El detalle de campos, tipos y relaciones va en el documento de modelo de base de datos (SICMA-BDD).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Entidad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cuenta en SICMA, con su identificador de huella en el lector HID.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RF-ID-01, RF-ID-04, RF-ACC-02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Administrador, Jefatura, Técnico o Auditor.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y estados posibles de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RF-CAT-04, RF-ACT-04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asociado a una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 con fecha.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por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al superar un umbral, con sus destinatarios.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RF-AMB-05, RF-CAT-05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de un servidor recibido desde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RF-INF-02, RF-INF-03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 físico con resultado.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Solicitud, aprobación, asignación, ejecución y cierre.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activos e intervenciones.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RF-ACT-03, RF-INT-04</w:t>
            </w:r>
          </w:p>
        </w:tc>
      </w:tr>
    </w:tbl>
    <w:bookmarkEnd w:id="40"/>
    <w:bookmarkStart w:id="41" w:name="matriz-de-permisos-por-rol"/>
    <w:p>
      <w:pPr>
        <w:pStyle w:val="Heading2"/>
      </w:pPr>
      <w:r>
        <w:t xml:space="preserve">Matriz de permisos por rol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Propuesta tomada del documento de requisitos de la Fase 1 (SICMA_RHU) y por validar (D-13). C = consulta, E = ejecución o modificación, y un guion = sin acceso. La autorización siempre se comprueba en la API. La app móvil solo tiene consulta.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 o acción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Administrador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Jefatura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Técnico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 y configuración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y ubicaciones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sensores y umbrales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Huellas de acceso (identificadores)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técnico a la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y reportes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</w:tbl>
    <w:bookmarkEnd w:id="41"/>
    <w:bookmarkStart w:id="42" w:name="reglas-de-negocio"/>
    <w:p>
      <w:pPr>
        <w:pStyle w:val="Heading2"/>
      </w:pPr>
      <w:r>
        <w:t xml:space="preserve">Reglas de negocio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Reglas tomadas del documento de requisitos de la Fase 1 y adaptadas. Quedan por validar con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códigos de activos, dispositivos, ubicaciones y puntos de acceso son únicos y no se reutilizan mientras exista historial asociado.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con historial se desactivan o retiran de forma lógica; no se eliminan desde la interfaz.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aprobada no puede cambiar activos, horario ni impacto; cualquier cambio la devuelve a Pendiente.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cerrada no se reabre; una nueva ocurrencia genera otra alerta.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Mientras haya una alerta abierta de la misma fuente y condición, las repeticiones actualizan esa alerta y no crean otra.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mediciones simuladas llevan una marca visible y persistente, y no se mezclan con las reales.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persona sin permiso vigente queda con acceso denegado aunque el lector reconozca su identificador.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fecha y hora oficial de un evento es la del servidor de SICMA, guardada en UTC y mostrada en la zona horaria configurada.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accesos no se editan ni se eliminan desde la interfaz, ni siquiera por el Administrador.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paneles y las exportaciones nunca exponen datos a los que el usuario no tiene acceso en pantalla.</w:t>
            </w:r>
          </w:p>
        </w:tc>
      </w:tr>
    </w:tbl>
    <w:bookmarkEnd w:id="42"/>
    <w:bookmarkStart w:id="43" w:name="X1452106adaf53b46a2a61a77d5f328266a189fd"/>
    <w:p>
      <w:pPr>
        <w:pStyle w:val="Heading2"/>
      </w:pPr>
      <w:r>
        <w:t xml:space="preserve">Valores de referencia de los no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Cifras del documento de requisitos de la Fase 1 que sirven para volver medibles algunos RNF. Se proponen y quedan por validar (D-06).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RNF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 de al menos 10 caracteres, con mayúscula, minúscula, número y carácter especial.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Después de 5 intentos fallidos en 15 minutos, la cuenta se bloquea 15 minutos o hasta que el Administrador la desbloquee.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expira tras 15 minutos de inactividad; el token JWT tiene firma y expiración.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El documento de la Fase 1 usa WCAG 2.1 AA; este documento propone 2.2 AA (D-12).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de las consultas web comunes responde en 3 segundos o menos con 20 usuarios concurrentes.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de sensor se guarda y se evalúa contra los umbrales en 5 segundos o menos.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dos últimas versiones estables de Chrome y Edge, y Android 10 o superior.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lecturas se envían cada 2 segundos (hasta 43.200 por dispositivo al día), así que hay que dimensionar el almacenamiento.</w:t>
            </w:r>
          </w:p>
        </w:tc>
      </w:tr>
    </w:tbl>
    <w:bookmarkEnd w:id="43"/>
    <w:bookmarkStart w:id="44" w:name="criterios-globales-de-aceptación"/>
    <w:p>
      <w:pPr>
        <w:pStyle w:val="Heading2"/>
      </w:pPr>
      <w:r>
        <w:t xml:space="preserve">Criterios globales de aceptación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demostración recorre un activo desde su registro hasta su consulta móvil, con lecturas, alerta, acceso e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caída controlada de Zabbix o de un sensor no impide operar los módulos internos y queda informada.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no puede ejecutar acciones fuera de su rol ni obtener datos con llamadas directas a la API.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no contiene huellas ni plantillas biométricas, y los secretos no aparecen en GitHub.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 actualiza los dashboards con una cuenta de solo lectura.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documentación, los scripts y las evidencias permiten repetir la instalación y las pruebas.</w:t>
            </w:r>
          </w:p>
        </w:tc>
      </w:tr>
    </w:tbl>
    <w:bookmarkEnd w:id="44"/>
    <w:bookmarkStart w:id="45" w:name="historias-de-usuario"/>
    <w:p>
      <w:pPr>
        <w:pStyle w:val="Heading2"/>
      </w:pPr>
      <w:r>
        <w:t xml:space="preserve">Historias de usuario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Formato: Como (rol), quiero (acción), para (beneficio). Son 21.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Como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Quiero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sesión con mi correo y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acceder a las funciones de mi 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recuperar mi contraseña por correo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volver a ingresar si la olvido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y administrar cuentas y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controlar quién usa SICMA y qué puede hacer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y editar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el inventario al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RF-ACT-01, RF-ACT-04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buscar y filtrar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encontrar rápido un equipo y su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historial de un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saber qué le ha ocurrido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zonas, dispositivos IoT, tipos, ubicaciones y responsables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los catálogos que usa el sistema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definir los umbrales de temperatura y humedad por 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las alertas reflejen lo que es riesgoso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 correo cuando se supere un 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reaccionar antes de que haya daño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 las lecturas de temperatura y humedad en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el ambiente en cualquier momento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estado de los servidores y sus eventos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detectar fallas de infraestructura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RF-INF-02, RF-INF-03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a cada usuario su huella en el 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pueda ingresar al datacenter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y filtrar el registro de accesos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quién entró y cuándo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con un formulario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registro formal del trabajo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autorizar el trabajo antes de que se ejecute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un técnico a una intervención aprobada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quede programada en el calendario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la ejecución y el cierre de la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constancia de lo realizado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 dashboards de ambiente, infraestructura, accesos e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con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tener acceso de solo 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sin poder modificar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desde el móvil sin poder modificar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el estado cuando no estoy en mi puesto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operar todas las funciones de mi rol desde la web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depender de otra herramienta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45"/>
    <w:bookmarkStart w:id="46" w:name="verificación"/>
    <w:p>
      <w:pPr>
        <w:pStyle w:val="Heading2"/>
      </w:pPr>
      <w:r>
        <w:t xml:space="preserve">Verificación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Cómo se comprobará cada grupo de requerimientos. Los casos de prueba (SICMA-CPR) detallan los pasos y los resultados esperados.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 de verificación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RNF-SEG-01 a 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ingreso, recuperación, bloqueo por intentos y política de contraseñas.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crear, editar, consultar, buscar y desactivar.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con un dispositivo ESP32-S3 real o simulado: lectura recibida, umbral superado, alerta generada y correo recibido.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integración con Zabbix: se cae un servidor de prueba y SICMA lo muestra en el minuto siguiente.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con el lector HID: acceso permitido y denegado quedan registrados, sin huellas almacenadas.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extremo a extremo: Forms, Power Automate, aprobación, calendario y cierre en SICMA.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 los dashboards contra los datos de la base.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en navegador web y en la app móvil, verificando que el móvil no permite modificar.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 a 09, RNF-CAL-02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configuración, pruebas de inyección SQL y revisión contra OWASP Top 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RNF-DIS-01, RNF-DIS-02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baja el nodo primary y se mide que la escritura se restablezca en 60 segundos o menos, sin pérdida de datos confirmados.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del flujo en GitHub Actions, informe de SonarQube y de la documentación OpenAPI.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Encuesta SUS a usuarios y revisión de accesibilidad WCAG 2.2.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RNF-DES-01, RNF-DES-02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del despliegue y del envío de datos del dispositivo IoT por WiFi y HTTP.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que no se almacenen huellas y de los datos personales tratados.</w:t>
            </w:r>
          </w:p>
        </w:tc>
      </w:tr>
    </w:tbl>
    <w:bookmarkEnd w:id="46"/>
    <w:bookmarkStart w:id="47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Requerimientos funcionales hacia historias de usuario. Las columnas de casos de uso (CU) y casos de prueba (CP) se completan cuando existan esos documentos.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RF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Historias de usuario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CU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HU-01, HU-02, HU-03, HU-19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HU-04, HU-05, HU-06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HU-08, HU-09, HU-10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HU-12, HU-13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HU-14, HU-15, HU-16, HU-17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HU-20, HU-21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bookmarkEnd w:id="47"/>
    <w:bookmarkStart w:id="48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y software del lector HID, y cómo llegan los registros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envía el resultado a la 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Power BI lee de la base de datos o de la 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 de la base de datos.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Licencia de Power BI (se usa la versión gratuita).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mostrados desde el equipo del grupo.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las prioridades MoSCoW con el equipo y el cliente.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Las de este documento.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Quiénes son los responsables de alerta.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define el Administrador por zona o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RF-CAT-05, 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define los umbrales.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la Ley 21.719 sobre protección de datos personales.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 la Ley 19.628.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de la Fase 2 y portada.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portada se agrega al final.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 con acceso al calendario compartido.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Nivel WCAG a cumplir (A, AA o AAA).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Matriz de permisos por rol.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define en el modelo de casos de uso.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 intervención y quién asigna al Técnico.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y el Administrador asigna.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HU-15, HU-16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sigue recibiendo avisos de las intervenciones que afectan su servicio.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48"/>
    <w:bookmarkStart w:id="49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activo.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monitoreada por uno o más dispositivos IoT.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físico o lógico del datacenter que se inventaría.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 activo, con solicitud, aprobación, ejecución y cierre.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MoSCoW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Técnica de prioridad: Must (obligatorio), Should (importante), Could (deseable), Won’t (fuera de alcance).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firmado que identifica a un usuario autenticado.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Fabricante del lector biométrico de huellas usado en el control de acceso.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SICMA-PRY v1.0. Plan del Proyecto.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SICMA-PLP v1.0. Plan de Pruebas.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ISO/IEC/IEEE 29148:2018. Systems and software engineering, Life cycle processes, Requirements engineering.</w:t>
      </w:r>
    </w:p>
    <w:p>
      <w:pPr>
        <w:pStyle w:val="Compact"/>
        <w:spacing w:after="60"/>
        <w:ind w:left="510" w:hanging="510"/>
      </w:pPr>
      <w:r>
        <w:rPr>
          <w:b w:val="0"/>
        </w:rPr>
        <w:t>[6] ISO/IEC 25010:2011. Systems and software engineering, Systems and software Quality Requirements and Evaluation (SQuaRE), System and software quality models.</w:t>
      </w:r>
    </w:p>
    <w:p>
      <w:pPr>
        <w:pStyle w:val="Compact"/>
        <w:spacing w:after="60"/>
        <w:ind w:left="510" w:hanging="510"/>
      </w:pPr>
      <w:r>
        <w:rPr>
          <w:b w:val="0"/>
        </w:rPr>
        <w:t>[7] OWASP Foundation. (2021). OWASP Top 10:2021. https://owasp.org/Top10/</w:t>
      </w:r>
    </w:p>
    <w:p>
      <w:pPr>
        <w:pStyle w:val="Compact"/>
        <w:spacing w:after="60"/>
        <w:ind w:left="510" w:hanging="510"/>
      </w:pPr>
      <w:r>
        <w:rPr>
          <w:b w:val="0"/>
        </w:rPr>
        <w:t>[8] W3C. (2023). Web Content Accessibility Guidelines (WCAG) 2.2. W3C Recommendation. https://www.w3.org/TR/WCAG22/</w:t>
      </w:r>
    </w:p>
    <w:bookmarkEnd w:id="49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SICMA-REQ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Requerimientos</dc:title>
  <dc:creator/>
  <cp:keywords/>
  <dcterms:created xsi:type="dcterms:W3CDTF">2026-10-10T13:55:42Z</dcterms:created>
  <dcterms:modified xsi:type="dcterms:W3CDTF">2026-10-10T13:55:42Z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SICMA-REQ · Versión 0.4 · Borrador</vt:lpwstr>
  </property>
</Properties>
</file>