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Requerimientos</w:t>
      </w:r>
    </w:p>
    <w:p>
      <w:pPr>
        <w:pStyle w:val="Subtitle"/>
      </w:pPr>
      <w:r>
        <w:t>SICMA-REQ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5</w:t>
      </w:r>
    </w:p>
    <w:p>
      <w:pPr>
        <w:pStyle w:val="toc2"/>
      </w:pPr>
      <w:r>
        <w:t>Identidad y acceso (RF-ID)</w:t>
      </w:r>
      <w:r>
        <w:tab/>
      </w:r>
      <w:r>
        <w:t>5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6</w:t>
      </w:r>
    </w:p>
    <w:p>
      <w:pPr>
        <w:pStyle w:val="toc2"/>
      </w:pPr>
      <w:r>
        <w:t>Infraestructura (RF-INF)</w:t>
      </w:r>
      <w:r>
        <w:tab/>
      </w:r>
      <w:r>
        <w:t>6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7</w:t>
      </w:r>
    </w:p>
    <w:p>
      <w:pPr>
        <w:pStyle w:val="toc2"/>
      </w:pPr>
      <w:r>
        <w:t>Plataforma (RF-PLT)</w:t>
      </w:r>
      <w:r>
        <w:tab/>
      </w:r>
      <w:r>
        <w:t>7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9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10</w:t>
      </w:r>
    </w:p>
    <w:p>
      <w:pPr>
        <w:pStyle w:val="toc1"/>
      </w:pPr>
      <w:r>
        <w:t>Valores de referencia de los no funcionales</w:t>
      </w:r>
      <w:r>
        <w:tab/>
      </w:r>
      <w:r>
        <w:t>11</w:t>
      </w:r>
    </w:p>
    <w:p>
      <w:pPr>
        <w:pStyle w:val="toc1"/>
      </w:pPr>
      <w:r>
        <w:t>Criterios globales de aceptación</w:t>
      </w:r>
      <w:r>
        <w:tab/>
      </w:r>
      <w:r>
        <w:t>11</w:t>
      </w:r>
    </w:p>
    <w:p>
      <w:pPr>
        <w:pStyle w:val="toc1"/>
      </w:pPr>
      <w:r>
        <w:t>Historias de usuario</w:t>
      </w:r>
      <w:r>
        <w:tab/>
      </w:r>
      <w:r>
        <w:t>11</w:t>
      </w:r>
    </w:p>
    <w:p>
      <w:pPr>
        <w:pStyle w:val="toc1"/>
      </w:pPr>
      <w:r>
        <w:t>Verificación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14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045"/>
        <w:gridCol w:w="3870"/>
      </w:tblGrid>
      <w:tr>
        <w:trPr>
          <w:tblHeader w:val="true"/>
        </w:trPr>
        <w:tc>
          <w:tcPr>
            <w:tcW w:w="40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8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91"/>
        <w:gridCol w:w="3990"/>
        <w:gridCol w:w="1631"/>
      </w:tblGrid>
      <w:tr>
        <w:trPr>
          <w:tblHeader w:val="true"/>
        </w:trPr>
        <w:tc>
          <w:tcPr>
            <w:tcW w:w="22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tcW w:w="1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74"/>
        <w:gridCol w:w="2074"/>
        <w:gridCol w:w="3765"/>
      </w:tblGrid>
      <w:tr>
        <w:trPr>
          <w:tblHeader w:val="true"/>
        </w:trPr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7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Crea, modifica y desactiva cuentas, asigna roles, asigna el Técnico a cada intervención aprobada y mantiene los catálogos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los dashboards con los indicadores de gestión y aprueba o rechaza las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la plataforma: activos, lecturas, eventos e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Enrola huellas y revoca permisos de acceso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4533"/>
        <w:gridCol w:w="1480"/>
      </w:tblGrid>
      <w:tr>
        <w:trPr>
          <w:tblHeader w:val="true"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asignar a cada usuario uno de los roles Administrador, Jefatura, Técnico o Auditor.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7"/>
        <w:gridCol w:w="4480"/>
        <w:gridCol w:w="1486"/>
      </w:tblGrid>
      <w:tr>
        <w:trPr>
          <w:tblHeader w:val="true"/>
        </w:trPr>
        <w:tc>
          <w:tcPr>
            <w:tcW w:w="19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4490"/>
        <w:gridCol w:w="1473"/>
      </w:tblGrid>
      <w:tr>
        <w:trPr>
          <w:tblHeader w:val="true"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4"/>
        <w:gridCol w:w="4516"/>
        <w:gridCol w:w="1462"/>
      </w:tblGrid>
      <w:tr>
        <w:trPr>
          <w:tblHeader w:val="true"/>
        </w:trPr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455"/>
        <w:gridCol w:w="1524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5"/>
        <w:gridCol w:w="4435"/>
        <w:gridCol w:w="1534"/>
      </w:tblGrid>
      <w:tr>
        <w:trPr>
          <w:tblHeader w:val="true"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asociar un usuario a su identificador de huella en el lector HID.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528"/>
        <w:gridCol w:w="1450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debe poder aprobar o rechazar la intervención en Microsoft Teams, con un flujo de Power Automate que entrega la decisión a SICMA.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94"/>
        <w:gridCol w:w="4361"/>
        <w:gridCol w:w="1658"/>
      </w:tblGrid>
      <w:tr>
        <w:trPr>
          <w:tblHeader w:val="true"/>
        </w:trPr>
        <w:tc>
          <w:tcPr>
            <w:tcW w:w="18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3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72"/>
        <w:gridCol w:w="4270"/>
        <w:gridCol w:w="1672"/>
      </w:tblGrid>
      <w:tr>
        <w:trPr>
          <w:tblHeader w:val="true"/>
        </w:trPr>
        <w:tc>
          <w:tcPr>
            <w:tcW w:w="1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2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0"/>
        <w:gridCol w:w="3585"/>
        <w:gridCol w:w="1163"/>
        <w:gridCol w:w="1512"/>
      </w:tblGrid>
      <w:tr>
        <w:trPr>
          <w:tblHeader w:val="true"/>
        </w:trPr>
        <w:tc>
          <w:tcPr>
            <w:tcW w:w="16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1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tcW w:w="15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tratamiento de datos personales debe cumplir la Ley 19.628. No se almacenan huellas. Falta verificar la Ley 21.719 (D-09).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30"/>
        <w:gridCol w:w="1137"/>
        <w:gridCol w:w="1733"/>
        <w:gridCol w:w="1694"/>
        <w:gridCol w:w="1615"/>
      </w:tblGrid>
      <w:tr>
        <w:trPr>
          <w:tblHeader w:val="true"/>
        </w:trPr>
        <w:tc>
          <w:tcPr>
            <w:tcW w:w="1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tcW w:w="11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tcW w:w="16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16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USB a un PC que compara la huella y envía el resultado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(D-03)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(D-02)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6"/>
        <w:gridCol w:w="3623"/>
        <w:gridCol w:w="2334"/>
      </w:tblGrid>
      <w:tr>
        <w:trPr>
          <w:tblHeader w:val="true"/>
        </w:trPr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tcW w:w="36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tcW w:w="23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SICMA, con su identificador de huella en el lector HID.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RF-ID-04, RF-ACC-02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Administrador, Jefatura, Técnico o Auditor.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3"/>
        <w:gridCol w:w="1406"/>
        <w:gridCol w:w="1299"/>
        <w:gridCol w:w="1299"/>
        <w:gridCol w:w="1299"/>
      </w:tblGrid>
      <w:tr>
        <w:trPr>
          <w:tblHeader w:val="true"/>
        </w:trPr>
        <w:tc>
          <w:tcPr>
            <w:tcW w:w="25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tcW w:w="14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Administrador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86"/>
        <w:gridCol w:w="5829"/>
      </w:tblGrid>
      <w:tr>
        <w:trPr>
          <w:tblHeader w:val="true"/>
        </w:trPr>
        <w:tc>
          <w:tcPr>
            <w:tcW w:w="20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aprobada no puede cambiar activos, horario ni impacto; cualquier cambio la devuelve a Pendiente.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5490"/>
      </w:tblGrid>
      <w:tr>
        <w:trPr>
          <w:tblHeader w:val="true"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tcW w:w="5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6"/>
        <w:gridCol w:w="5809"/>
      </w:tblGrid>
      <w:tr>
        <w:trPr>
          <w:tblHeader w:val="true"/>
        </w:trPr>
        <w:tc>
          <w:tcPr>
            <w:tcW w:w="21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Formato: Rol, lo que necesita hacer y para qué lo necesita.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60"/>
        <w:gridCol w:w="1044"/>
        <w:gridCol w:w="1956"/>
        <w:gridCol w:w="1757"/>
        <w:gridCol w:w="1236"/>
        <w:gridCol w:w="1043"/>
      </w:tblGrid>
      <w:tr>
        <w:trPr>
          <w:tblHeader w:val="true"/>
        </w:trPr>
        <w:tc>
          <w:tcPr>
            <w:tcW w:w="8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0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Necesita</w:t>
            </w:r>
          </w:p>
        </w:tc>
        <w:tc>
          <w:tcPr>
            <w:tcW w:w="1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tcW w:w="12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0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iniciar sesión con su correo y contraseña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acceder a las funciones de su rol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recuperar su contraseña por correo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volver a ingresar si la olvida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revisar el estado cuando no está en su puesto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operar todas las funciones de su rol desde la web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11"/>
        <w:gridCol w:w="5204"/>
      </w:tblGrid>
      <w:tr>
        <w:trPr>
          <w:tblHeader w:val="true"/>
        </w:trPr>
        <w:tc>
          <w:tcPr>
            <w:tcW w:w="27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52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el lector HID: acceso permitido y denegado quedan registrados, sin huellas almacenadas.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2"/>
        <w:gridCol w:w="2368"/>
        <w:gridCol w:w="1910"/>
        <w:gridCol w:w="1910"/>
      </w:tblGrid>
      <w:tr>
        <w:trPr>
          <w:tblHeader w:val="true"/>
        </w:trPr>
        <w:tc>
          <w:tcPr>
            <w:tcW w:w="17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tcW w:w="23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4"/>
        <w:gridCol w:w="2372"/>
        <w:gridCol w:w="2119"/>
        <w:gridCol w:w="1375"/>
        <w:gridCol w:w="1107"/>
      </w:tblGrid>
      <w:tr>
        <w:trPr>
          <w:tblHeader w:val="true"/>
        </w:trPr>
        <w:tc>
          <w:tcPr>
            <w:tcW w:w="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y software del lector HID, y cómo llegan los registros a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envía el resultado a la API.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en el modelo de casos de uso.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5479"/>
      </w:tblGrid>
      <w:tr>
        <w:trPr>
          <w:tblHeader w:val="true"/>
        </w:trPr>
        <w:tc>
          <w:tcPr>
            <w:tcW w:w="24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HID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Fabricante del lector biométrico de huellas usado en el control de acceso.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SICMA-PLP v1.0. Plan de Pruebas.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