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Stakeholders</w:t>
      </w:r>
    </w:p>
    <w:p>
      <w:pPr>
        <w:pStyle w:val="Subtitle"/>
      </w:pPr>
      <w:r>
        <w:t xml:space="preserve">SICMA-STK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Vigente</w:t>
      </w:r>
    </w:p>
    <w:p>
      <w:pPr>
        <w:pStyle w:val="Date"/>
      </w:pPr>
      <w:r>
        <w:t xml:space="preserve"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4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5</w:t>
      </w:r>
    </w:p>
    <w:p>
      <w:pPr>
        <w:pStyle w:val="toc1"/>
      </w:pPr>
      <w:r>
        <w:t>Matriz de influencia e interés</w:t>
      </w:r>
      <w:r>
        <w:tab/>
      </w:r>
      <w:r>
        <w:t>6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6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7</w:t>
      </w:r>
    </w:p>
    <w:p>
      <w:pPr>
        <w:pStyle w:val="toc1"/>
      </w:pPr>
      <w:r>
        <w:t>Trazabilidad</w:t>
      </w:r>
      <w:r>
        <w:tab/>
      </w:r>
      <w:r>
        <w:t>8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 y referencias</w:t>
      </w:r>
      <w:r>
        <w:tab/>
      </w:r>
      <w:r>
        <w:t>9</w:t>
      </w:r>
    </w:p>
    <w:p>
      <w:pPr>
        <w:pStyle w:val="toc2"/>
      </w:pPr>
      <w:r>
        <w:t>Referencias</w:t>
      </w:r>
      <w:r>
        <w:tab/>
      </w:r>
      <w:r>
        <w:t>10</w:t>
      </w:r>
    </w:p>
    <w:p>
      <w:pPr>
        <w:pStyle w:val="toc1"/>
      </w:pPr>
      <w:r>
        <w:t>Anexos</w:t>
      </w:r>
      <w:r>
        <w:tab/>
      </w:r>
      <w:r>
        <w:t>10</w:t>
      </w:r>
    </w:p>
    <w:p>
      <w:pPr>
        <w:pStyle w:val="toc2"/>
      </w:pPr>
      <w:r>
        <w:t>Anexo A. Plantilla del registro de revisión de un recorrido</w:t>
      </w:r>
      <w:r>
        <w:tab/>
      </w:r>
      <w:r>
        <w:t>10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Versión vigente 1.1 del documento SICMA-STK. Reemplaza a la versión 1.0;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 (versión 1.1 del 5 de octubre de 2026), SICMA-REQ v1.0, SICMA-PRY v1.0, SICMA-RCF v1.0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 del registro y análisis de stakeholders de SICMA.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Quién es un stakeholder.</w:t>
      </w:r>
      <w:r>
        <w:rPr>
          <w:sz w:val="22"/>
        </w:rPr>
        <w:t xml:space="preserve"> </w:t>
      </w:r>
      <w:r>
        <w:rPr>
          <w:sz w:val="22"/>
        </w:rPr>
        <w:t xml:space="preserve">Una persona o un rol que participa en el proyecto, que lo evalúa o que representa una necesidad de uso.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Qué queda fuera del registro.</w:t>
      </w:r>
      <w:r>
        <w:rPr>
          <w:sz w:val="22"/>
        </w:rPr>
        <w:t xml:space="preserve"> </w:t>
      </w:r>
      <w:r>
        <w:rPr>
          <w:sz w:val="22"/>
        </w:rP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Criterios de análisis.</w:t>
      </w:r>
      <w:r>
        <w:rPr>
          <w:sz w:val="22"/>
        </w:rPr>
        <w:t xml:space="preserve"> </w:t>
      </w:r>
      <w:r>
        <w:rPr>
          <w:sz w:val="22"/>
        </w:rP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9"/>
        <w:gridCol w:w="3521"/>
        <w:gridCol w:w="2883"/>
      </w:tblGrid>
      <w:tr>
        <w:trPr>
          <w:tblHeader w:val="true"/>
        </w:trPr>
        <w:tc>
          <w:tcPr>
            <w:tcW w:w="15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tcW w:w="35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28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3"/>
        <w:gridCol w:w="1905"/>
        <w:gridCol w:w="4053"/>
      </w:tblGrid>
      <w:tr>
        <w:trPr>
          <w:tblHeader w:val="true"/>
        </w:trPr>
        <w:tc>
          <w:tcPr>
            <w:tcW w:w="19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9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40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70"/>
        <w:gridCol w:w="1627"/>
        <w:gridCol w:w="2473"/>
        <w:gridCol w:w="2740"/>
      </w:tblGrid>
      <w:tr>
        <w:trPr>
          <w:tblHeader w:val="true"/>
        </w:trPr>
        <w:tc>
          <w:tcPr>
            <w:tcW w:w="10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6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tcW w:w="2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tcW w:w="27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seguridad, IoT, Zabbix y lector HID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v1.0 (D-02).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2"/>
        <w:gridCol w:w="1371"/>
        <w:gridCol w:w="2755"/>
        <w:gridCol w:w="2761"/>
      </w:tblGrid>
      <w:tr>
        <w:trPr>
          <w:tblHeader w:val="true"/>
        </w:trPr>
        <w:tc>
          <w:tcPr>
            <w:tcW w:w="10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27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tcW w:w="27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Validación externa de su acceso físico con el lector HID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4"/>
        <w:gridCol w:w="1924"/>
        <w:gridCol w:w="1344"/>
        <w:gridCol w:w="1331"/>
        <w:gridCol w:w="1964"/>
      </w:tblGrid>
      <w:tr>
        <w:trPr>
          <w:tblHeader w:val="true"/>
        </w:trPr>
        <w:tc>
          <w:tcPr>
            <w:tcW w:w="1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1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1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20"/>
        <w:gridCol w:w="2664"/>
        <w:gridCol w:w="3130"/>
      </w:tblGrid>
      <w:tr>
        <w:trPr>
          <w:tblHeader w:val="true"/>
        </w:trPr>
        <w:tc>
          <w:tcPr>
            <w:tcW w:w="2120" w:type="dxa"/>
            <w:shd w:val="clear" w:color="auto" w:fill="D9E2F3"/>
          </w:tcPr>
          <w:p>
            <w:pPr>
              <w:pStyle w:val="Compact"/>
            </w:pPr>
          </w:p>
        </w:tc>
        <w:tc>
          <w:tcPr>
            <w:tcW w:w="26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tcW w:w="31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>
            <w:tcW w:w="26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>
            <w:tcW w:w="3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>
            <w:tcW w:w="26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>
            <w:tcW w:w="3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4"/>
        <w:gridCol w:w="4351"/>
      </w:tblGrid>
      <w:tr>
        <w:trPr>
          <w:tblHeader w:val="true"/>
        </w:trPr>
        <w:tc>
          <w:tcPr>
            <w:tcW w:w="3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tcW w:w="4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17"/>
        <w:gridCol w:w="1709"/>
        <w:gridCol w:w="2519"/>
        <w:gridCol w:w="2164"/>
      </w:tblGrid>
      <w:tr>
        <w:trPr>
          <w:tblHeader w:val="true"/>
        </w:trPr>
        <w:tc>
          <w:tcPr>
            <w:tcW w:w="1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tcW w:w="17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tcW w:w="21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commit demuestra una modificación, no por sí solo la aprobación del equipo. Mientras no exista una revisión, su estado es Pendiente.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3"/>
        <w:gridCol w:w="4562"/>
      </w:tblGrid>
      <w:tr>
        <w:trPr>
          <w:tblHeader w:val="true"/>
        </w:trPr>
        <w:tc>
          <w:tcPr>
            <w:tcW w:w="33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45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Tratamiento de una observación.</w:t>
      </w:r>
      <w:r>
        <w:rPr>
          <w:sz w:val="22"/>
        </w:rPr>
        <w:t xml:space="preserve"> </w:t>
      </w:r>
      <w:r>
        <w:rPr>
          <w:sz w:val="22"/>
        </w:rP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92"/>
        <w:gridCol w:w="5223"/>
      </w:tblGrid>
      <w:tr>
        <w:trPr>
          <w:tblHeader w:val="true"/>
        </w:trPr>
        <w:tc>
          <w:tcPr>
            <w:tcW w:w="26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tcW w:w="52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1"/>
        <w:gridCol w:w="4564"/>
      </w:tblGrid>
      <w:tr>
        <w:trPr>
          <w:tblHeader w:val="true"/>
        </w:trPr>
        <w:tc>
          <w:tcPr>
            <w:tcW w:w="3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4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SICMA-RCF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5"/>
        <w:gridCol w:w="1983"/>
        <w:gridCol w:w="3402"/>
        <w:gridCol w:w="1371"/>
      </w:tblGrid>
      <w:tr>
        <w:trPr>
          <w:tblHeader w:val="true"/>
        </w:trPr>
        <w:tc>
          <w:tcPr>
            <w:tcW w:w="11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documento de la Fase 1 asigna otras responsabilidades que SICMA-PRY v1.0 (por ejemplo, Forms y Power Automate a Claudio, y el clúster MySQL a Fidel). Este documento sigue SICMA-PRY. Falta que el equipo confirme cuál queda vigente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1"/>
        <w:gridCol w:w="5284"/>
      </w:tblGrid>
      <w:tr>
        <w:trPr>
          <w:tblHeader w:val="true"/>
        </w:trPr>
        <w:tc>
          <w:tcPr>
            <w:tcW w:w="2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se valida en el lector HID para un acceso físico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v1.0. Resolución de Conflictos.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4"/>
        <w:gridCol w:w="4561"/>
      </w:tblGrid>
      <w:tr>
        <w:trPr>
          <w:tblHeader w:val="true"/>
        </w:trPr>
        <w:tc>
          <w:tcPr>
            <w:tcW w:w="33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