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a="http://schemas.openxmlformats.org/drawingml/2006/main" xmlns:pic="http://schemas.openxmlformats.org/drawingml/2006/picture">
      <w:pPr>
        <w:jc w:val="left"/>
        <w:spacing w:after="240"/>
      </w:pPr>
      <w:r>
        <w:drawing>
          <wp:inline distT="0" distB="0" distL="0" distR="0">
            <wp:extent cx="2232000" cy="721816"/>
            <wp:effectExtent l="0" t="0" r="0" b="0"/>
            <wp:docPr id="900" name="LogoDuoc" descr="Duoc UC - Escuela de Informatica y Telecomunic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0" name="logo.png"/>
                    <pic:cNvPicPr/>
                  </pic:nvPicPr>
                  <pic:blipFill>
                    <a:blip r:embed="rIdLogoSICMA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jc w:val="center"/>
        <w:spacing w:before="0" w:after="80" w:line="276" w:lineRule="auto"/>
      </w:pPr>
      <w:r>
        <w:rPr>
          <w:rFonts w:ascii="Calibri" w:hAnsi="Calibri" w:cs="Calibri"/>
          <w:b/>
          <w:color w:val="7F7F7F"/>
          <w:sz w:val="18"/>
          <w:szCs w:val="18"/>
        </w:rPr>
        <w:t xml:space="preserve">CAPSTONE · FASE 1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1F3864"/>
          <w:sz w:val="64"/>
          <w:szCs w:val="64"/>
        </w:rPr>
        <w:t xml:space="preserve">SICMA</w:t>
      </w:r>
    </w:p>
    <w:p>
      <w:pPr>
        <w:jc w:val="center"/>
        <w:spacing w:before="0" w:after="200" w:line="276" w:lineRule="auto"/>
      </w:pPr>
      <w:r>
        <w:rPr>
          <w:rFonts w:ascii="Calibri" w:hAnsi="Calibri" w:cs="Calibri"/>
          <w:color w:val="202020"/>
          <w:sz w:val="24"/>
          <w:szCs w:val="24"/>
        </w:rPr>
        <w:t xml:space="preserve">Sistema Integrado de Control y Monitoreo de Activos</w:t>
      </w:r>
    </w:p>
    <w:p>
      <w:pPr>
        <w:jc w:val="center"/>
        <w:spacing w:before="0" w:after="100" w:line="276" w:lineRule="auto"/>
      </w:pPr>
      <w:r>
        <w:rPr>
          <w:rFonts w:ascii="Calibri" w:hAnsi="Calibri" w:cs="Calibri"/>
          <w:b/>
          <w:color w:val="2E5C8A"/>
          <w:sz w:val="30"/>
          <w:szCs w:val="30"/>
        </w:rPr>
        <w:t xml:space="preserve">Diagrama de clases</w:t>
      </w:r>
    </w:p>
    <w:p>
      <w:pPr>
        <w:jc w:val="center"/>
        <w:spacing w:before="0" w:after="120" w:line="276" w:lineRule="auto"/>
      </w:pPr>
      <w:r>
        <w:rPr>
          <w:rFonts w:ascii="Calibri" w:hAnsi="Calibri" w:cs="Calibri"/>
          <w:i/>
          <w:color w:val="595959"/>
          <w:sz w:val="21"/>
          <w:szCs w:val="21"/>
        </w:rPr>
        <w:t xml:space="preserve">Modelo de datos · Documento de respaldo y validación de consistencia con el modelo relacional</w:t>
      </w:r>
    </w:p>
    <w:p>
      <w:pPr>
        <w:spacing w:before="0" w:after="16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6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Integrantes: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Álvaro Antonio González Briones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Claudio Alejandro Varas Toro</w:t>
      </w:r>
    </w:p>
    <w:p>
      <w:pPr>
        <w:ind w:left="600" w:hanging="240"/>
        <w:spacing w:before="0" w:after="40" w:line="276" w:lineRule="auto"/>
      </w:pPr>
      <w:r>
        <w:rPr>
          <w:rFonts w:ascii="Calibri" w:hAnsi="Calibri"/>
          <w:color w:val="202020"/>
          <w:sz w:val="22"/>
          <w:szCs w:val="22"/>
        </w:rPr>
        <w:t xml:space="preserve">•   Fidel Argenis Rodríguez Prieto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Sección: </w:t>
      </w:r>
      <w:r>
        <w:rPr>
          <w:rFonts w:ascii="Calibri" w:hAnsi="Calibri" w:cs="Calibri"/>
          <w:color w:val="202020"/>
          <w:sz w:val="22"/>
          <w:szCs w:val="22"/>
        </w:rPr>
        <w:t xml:space="preserve">001V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Docente: </w:t>
      </w:r>
      <w:r>
        <w:rPr>
          <w:rFonts w:ascii="Calibri" w:hAnsi="Calibri" w:cs="Calibri"/>
          <w:color w:val="202020"/>
          <w:sz w:val="22"/>
          <w:szCs w:val="22"/>
        </w:rPr>
        <w:t xml:space="preserve">Luis Bravo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 xml:space="preserve">Sede/Campus: </w:t>
      </w:r>
      <w:r>
        <w:rPr>
          <w:rFonts w:ascii="Calibri" w:hAnsi="Calibri" w:cs="Calibri"/>
          <w:color w:val="202020"/>
          <w:sz w:val="22"/>
          <w:szCs w:val="22"/>
        </w:rPr>
        <w:t xml:space="preserve">Plaza Oeste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Versión: 1.0 · revisión de alineación</w:t>
      </w:r>
    </w:p>
    <w:p>
      <w:pPr>
        <w:spacing w:before="0" w:after="20" w:line="276" w:lineRule="auto"/>
      </w:pPr>
      <w:r>
        <w:rPr>
          <w:rFonts w:ascii="Calibri" w:hAnsi="Calibri" w:cs="Calibri"/>
          <w:b/>
          <w:color w:val="202020"/>
          <w:sz w:val="22"/>
          <w:szCs w:val="22"/>
        </w:rPr>
        <w:t>Actualización: 5 de octubre de 2026</w:t>
      </w:r>
    </w:p>
    <w:p>
      <w:pPr>
        <w:spacing w:before="0" w:after="200" w:line="276" w:lineRule="auto"/>
      </w:pPr>
      <w:r>
        <w:rPr>
          <w:rFonts w:ascii="Calibri" w:hAnsi="Calibri" w:cs="Calibri"/>
          <w:color w:val="202020"/>
          <w:sz w:val="22"/>
          <w:szCs w:val="22"/>
        </w:rPr>
        <w:t xml:space="preserve"/>
      </w:r>
    </w:p>
    <w:p>
      <w:pPr>
        <w:spacing w:before="0" w:after="0" w:line="276" w:lineRule="auto"/>
      </w:pPr>
      <w:r>
        <w:rPr>
          <w:rFonts w:ascii="Calibri" w:hAnsi="Calibri" w:cs="Calibri"/>
          <w:i/>
          <w:color w:val="595959"/>
          <w:sz w:val="20"/>
          <w:szCs w:val="20"/>
        </w:rPr>
        <w:t xml:space="preserve">MySQL 8.x · InnoDB Cluster (Group Replication + MySQL Router)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fldChar w:fldCharType="begin"/>
      </w:r>
      <w:r>
        <w:instrText> TOC \o "1-1" \h \z \u </w:instrText>
      </w:r>
      <w:r>
        <w:fldChar w:fldCharType="separate"/>
      </w:r>
      <w:r>
        <w:rPr>
          <w:b w:val="0"/>
          <w:sz w:val="20"/>
        </w:rPr>
        <w:t>1. Propósito y alcance</w:t>
        <w:tab/>
        <w:t>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2. Diccionario de clases</w:t>
        <w:tab/>
        <w:t>3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3. Relaciones principales del modelo</w:t>
        <w:tab/>
        <w:t>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4. Reglas de negocio reflejadas en el diagrama</w:t>
        <w:tab/>
        <w:t>4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5. Validación de consistencia con el modelo relacional</w:t>
        <w:tab/>
        <w:t>5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Referencias</w:t>
        <w:tab/>
        <w:t>6</w:t>
      </w:r>
    </w:p>
    <w:p>
      <w:pPr>
        <w:keepNext w:val="0"/>
        <w:pageBreakBefore w:val="0"/>
        <w:tabs>
          <w:tab w:pos="8928" w:val="right" w:leader="dot"/>
        </w:tabs>
        <w:spacing w:after="100"/>
      </w:pPr>
      <w:r>
        <w:rPr>
          <w:b w:val="0"/>
          <w:sz w:val="20"/>
        </w:rPr>
        <w:t>Anexo A. Diagrama de clases UML</w:t>
        <w:tab/>
        <w:t>7</w:t>
      </w:r>
      <w:r>
        <w:fldChar w:fldCharType="end"/>
      </w:r>
    </w:p>
    <w:p>
      <w:r>
        <w:br w:type="page"/>
      </w:r>
    </w:p>
    <w:p w14:paraId="22E69AB6" w14:textId="77777777" w:rsidR="00806184" w:rsidRDefault="1984B891">
      <w:pPr>
        <w:pStyle w:val="heading10"/>
      </w:pPr>
      <w:r>
        <w:t>1. Propósito y alcance</w:t>
      </w:r>
    </w:p>
    <w:p w14:paraId="7F0E8DAF" w14:textId="77777777" w:rsidR="00806184" w:rsidRDefault="1984B891">
      <w:pPr>
        <w:spacing w:after="120" w:line="276" w:lineRule="auto"/>
        <w:jc w:val="both"/>
      </w:pPr>
      <w:r>
        <w:t>Modelo conceptual de datos ajustado a los 31 RF vigentes. Las cajas representan entidades y atributos relevantes; las relaciones indican cardinalidad. No certifica que el esquema o clúster estén implementados.</w:t>
      </w:r>
    </w:p>
    <w:p w14:paraId="00B2A294" w14:textId="77777777" w:rsidR="00806184" w:rsidRDefault="1984B891">
      <w:pPr>
        <w:spacing w:after="120" w:line="276" w:lineRule="auto"/>
        <w:jc w:val="both"/>
      </w:pPr>
      <w:r>
        <w:t>Quedan fuera reservas propias y resolución de solapamientos, permisos físicos administrados en SICMA, salud general de dependencias, adjuntos, exportaciones generales y un dashboard analítico web que duplique Power BI. Se mantienen las exclusiones de QR, auditoría general, respaldo lógico, biometría cruda y actuación física.</w:t>
      </w:r>
    </w:p>
    <w:p w14:paraId="49D51748" w14:textId="77777777" w:rsidR="00806184" w:rsidRDefault="1984B891">
      <w:pPr>
        <w:pStyle w:val="heading10"/>
      </w:pPr>
      <w:r>
        <w:t>2. Diccionario de clases</w:t>
      </w:r>
    </w:p>
    <w:p w14:paraId="7BD87265" w14:textId="77777777" w:rsidR="00806184" w:rsidRDefault="1984B891">
      <w:pPr>
        <w:spacing w:after="120" w:line="276" w:lineRule="auto"/>
        <w:jc w:val="both"/>
      </w:pPr>
      <w:r>
        <w:t>Cada clase con su propósito en una línea. Los tipos de dato, claves y restricciones se detallan en el diagrama y en el diccionario de datos del modelo relacional.</w:t>
      </w:r>
    </w:p>
    <w:tbl>
      <w:tblPr>
        <w:tblInd w:w="-7" w:type="dxa"/>
        <w:tblLook w:val="04A0" w:firstRow="1" w:lastRow="0" w:firstColumn="1" w:lastColumn="0" w:noHBand="0" w:noVBand="1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145"/>
        <w:gridCol w:w="6215"/>
      </w:tblGrid>
      <w:tr w:rsidR="00806184" w14:paraId="02B92C2A" w14:textId="77777777" w:rsidTr="1984B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1F3864"/>
            <w:vAlign w:val="center"/>
          </w:tcPr>
          <w:p w14:paraId="47CA6D6D" w14:textId="77777777" w:rsidR="00806184" w:rsidRDefault="000218BE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8"/>
                <w:szCs w:val="18"/>
                <w:color w:val="FFFFFF"/>
              </w:rPr>
              <w:t>Clase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1F3864"/>
            <w:vAlign w:val="center"/>
          </w:tcPr>
          <w:p w14:paraId="68D74B49" w14:textId="77777777" w:rsidR="00806184" w:rsidRDefault="1984B891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8"/>
                <w:szCs w:val="18"/>
                <w:color w:val="FFFFFF"/>
              </w:rPr>
              <w:t>Propósito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Usuario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Cuenta de aplicación; sesión y recuperación gestionadas por Django.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Ubicacion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Clasificación de activos y sensores.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Activo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Inventario y retiro lógico.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HistorialActivo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Cambios específicos del activo; solo inserción.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Sensor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Identidad y ubicación de dispositivo.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Medicion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Recepción y origen; UNIQUE(sensor_id, evento_id).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UmbralAmbiental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Regla ambiental; exactamente una zona o dispositivo como alcance.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Alerta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Anomalía ambiental o de rendimiento; sin flujo manual de atención.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Notificacion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Evidencia de envío sin contraseñas ni tokens.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PuntoAcceso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Identifica el origen del evento HID.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EventoAcceso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Intento permitido/denegado recibido de HID; inalterable.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Intervencion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Solicitud y agenda externa; no reserva recursos.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IntervencionActivo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Relación N:M; par único.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HistorialIntervencion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Decisión, inicio, avance y cierre con resultado.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HostZabbix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Vínculo con servidor y última observación.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EventoZabbix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Problema o evento técnico de infraestructura.</w:t>
            </w:r>
          </w:p>
        </w:tc>
      </w:tr>
      <w:tr w:rsidR="00806184" w14:paraId="6BF31C6D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AC15AF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EventoTecnicoIngesta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24296C2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Rechazos y errores sin secretos; no es auditoría general.</w:t>
            </w:r>
          </w:p>
        </w:tc>
      </w:tr>
    </w:tbl>
    <w:p w14:paraId="672A6659" w14:textId="77777777" w:rsidR="00806184" w:rsidRDefault="000218BE">
      <w:r>
        <w:br w:type="page"/>
      </w:r>
    </w:p>
    <w:p w14:paraId="020103BA" w14:textId="77777777" w:rsidR="00806184" w:rsidRDefault="1984B891">
      <w:pPr>
        <w:pStyle w:val="heading10"/>
      </w:pPr>
      <w:r>
        <w:t>3. Relaciones principales del modelo</w:t>
      </w:r>
    </w:p>
    <w:p w14:paraId="21D23A4E" w14:textId="77777777" w:rsidR="00806184" w:rsidRDefault="1984B891">
      <w:pPr>
        <w:spacing w:after="120" w:line="276" w:lineRule="auto"/>
        <w:jc w:val="both"/>
      </w:pPr>
      <w:r>
        <w:t>Las relaciones son asociaciones; no se requiere herencia ni composición de permisos físicos.</w:t>
      </w:r>
    </w:p>
    <w:p w14:paraId="6C4A7D87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Ubicacion 1 → 0..* Activo; Activo 1 → 0..* HistorialActivo.</w:t>
      </w:r>
    </w:p>
    <w:p w14:paraId="42BEA2DC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Sensor 1 → 0..* Medicion. Un umbral se aplica a una zona o dispositivo, sin ambigüedad.</w:t>
      </w:r>
    </w:p>
    <w:p w14:paraId="688A6837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Alerta referencia una medición o un evento Zabbix; Notificacion vincula alerta o intervención.</w:t>
      </w:r>
    </w:p>
    <w:p w14:paraId="332FFB0C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PuntoAcceso 1 → 0..* EventoAcceso. La identidad física se conserva como identificador externo; no es una cuenta de aplicación ni un permiso propio.</w:t>
      </w:r>
    </w:p>
    <w:p w14:paraId="70A90093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Intervencion N:M Activo mediante IntervencionActivo. Usuario 1 → 0..* Intervencion como responsable; Intervencion 1 → 0..* HistorialIntervencion.</w:t>
      </w:r>
    </w:p>
    <w:p w14:paraId="071A2F9F" w14:textId="77777777" w:rsidR="00806184" w:rsidRDefault="1984B891">
      <w:pPr>
        <w:pStyle w:val="heading10"/>
      </w:pPr>
      <w:r>
        <w:t>4. Reglas de negocio reflejadas en el diagrama</w:t>
      </w:r>
    </w:p>
    <w:p w14:paraId="3BAFE7D9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t>No se almacenan huellas. Altas y bajas físicas son externas, administradas por contratistas.</w:t>
      </w:r>
    </w:p>
    <w:p w14:paraId="766862BC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t>EventoAcceso, Medicion, HistorialActivo y EventoTecnicoIngesta son clases «inmutables» (solo inserción): no exponen operaciones de edición ni eliminación.</w:t>
      </w:r>
    </w:p>
    <w:p w14:paraId="30BD6EE2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t>Las alertas corresponden a umbral o rendimiento. No se añade reconocimiento, cierre manual ni evidencia adjunta.</w:t>
      </w:r>
    </w:p>
    <w:p w14:paraId="090CEEF2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t>RF-INT-03 se implementa como decisión y asignación; RF-INT-06 conserva activos e historial. El calendario es externo.</w:t>
      </w:r>
    </w:p>
    <w:p w14:paraId="6936CBB0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t>Notificacion.canal distingue Power Automate (agendamiento de intervenciones) de SMTP (alertas de performance y respaldo cuando Power Automate no está disponible).</w:t>
      </w:r>
    </w:p>
    <w:p w14:paraId="77F47567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t>Todas las fechas y horas se persisten en UTC (RNF-INT-02).</w:t>
      </w:r>
    </w:p>
    <w:p w14:paraId="0A37501D" w14:textId="77777777" w:rsidR="00806184" w:rsidRDefault="000218BE">
      <w:r>
        <w:br w:type="page"/>
      </w:r>
    </w:p>
    <w:p w14:paraId="5A4E78A6" w14:textId="77777777" w:rsidR="00806184" w:rsidRDefault="1984B891">
      <w:pPr>
        <w:pStyle w:val="heading10"/>
      </w:pPr>
      <w:r>
        <w:t>5. Validación de consistencia con el modelo relacional</w:t>
      </w:r>
    </w:p>
    <w:p w14:paraId="3D1474B9" w14:textId="77777777" w:rsidR="00806184" w:rsidRDefault="1984B891">
      <w:pPr>
        <w:spacing w:after="120" w:line="276" w:lineRule="auto"/>
        <w:jc w:val="both"/>
      </w:pPr>
      <w:r>
        <w:t>Correspondencia objetivo clase–tabla. El script SQL anterior y el código deben migrarse y probarse en #9; este documento no acredita equivalencia con un DDL ya desplegado.</w:t>
      </w:r>
    </w:p>
    <w:p w14:paraId="360BD606" w14:textId="77777777" w:rsidR="00806184" w:rsidRDefault="1984B891">
      <w:pPr>
        <w:pStyle w:val="heading20"/>
      </w:pPr>
      <w:r>
        <w:t>5.1 Correspondencia clase → tabla</w:t>
      </w:r>
    </w:p>
    <w:tbl>
      <w:tblPr>
        <w:tblInd w:w="-7" w:type="dxa"/>
        <w:tblLook w:val="04A0" w:firstRow="1" w:lastRow="0" w:firstColumn="1" w:lastColumn="0" w:noHBand="0" w:noVBand="1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942"/>
        <w:gridCol w:w="3504"/>
        <w:gridCol w:w="2919"/>
      </w:tblGrid>
      <w:tr w:rsidR="00806184" w14:paraId="1913DDDE" w14:textId="77777777" w:rsidTr="1984B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1F3864"/>
            <w:vAlign w:val="center"/>
          </w:tcPr>
          <w:p w14:paraId="2972ADDB" w14:textId="77777777" w:rsidR="00806184" w:rsidRDefault="000218BE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8"/>
                <w:szCs w:val="18"/>
                <w:color w:val="FFFFFF"/>
              </w:rPr>
              <w:t>Clase UML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1F3864"/>
            <w:vAlign w:val="center"/>
          </w:tcPr>
          <w:p w14:paraId="6CF236B4" w14:textId="77777777" w:rsidR="00806184" w:rsidRDefault="1984B891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8"/>
                <w:szCs w:val="18"/>
                <w:color w:val="FFFFFF"/>
              </w:rPr>
              <w:t>Tabla relacional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1F3864"/>
            <w:vAlign w:val="center"/>
          </w:tcPr>
          <w:p w14:paraId="32E649D5" w14:textId="77777777" w:rsidR="00806184" w:rsidRDefault="1984B891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8"/>
                <w:szCs w:val="18"/>
                <w:color w:val="FFFFFF"/>
              </w:rPr>
              <w:t>Nota de consistencia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Usuario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usuario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correo único; hash; rol; activo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Ubicacion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ubicacion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código; nombre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Activo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activo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código único; tipo; estado; ubicación_id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HistorialActivo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historial_activo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activo_id; autor_id; fecha; cambio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Sensor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sensor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código único; ubicación_id; credencial_hash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Medicion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medicion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sensor_id; evento_id; temperatura; humedad; fechas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UmbralAmbiental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umbral_ambiental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zona_id o sensor_id; mínimo; máximo; variable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Alerta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alerta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medición_id o evento_zabbix_id; fecha; descripción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Notificacion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notificacion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alerta_id o intervención_id; canal; fecha; resultado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PuntoAcceso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punto_acceso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identificador externo; ubicación_id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EventoAcceso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evento_acceso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punto_id; evento_id; identidad externa; decisión; fechas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Intervencion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intervencion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forms_id único; calendario_id; responsable_id; estado; fechas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IntervencionActivo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intervencion_activo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intervención_id; activo_id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HistorialIntervencion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historial_intervencion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intervención_id; autor_id; estado; fecha; comentario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HostZabbix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host_zabbix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host_externo único; activo_id; estado; fecha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EventoZabbix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evento_zabbix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host_id; evento_externo único; fecha; descripción</w:t>
            </w:r>
          </w:p>
        </w:tc>
      </w:tr>
      <w:tr w:rsidR="00806184" w14:paraId="7888C426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4C5E28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EventoTecnicoIngesta</w:t>
            </w:r>
          </w:p>
        </w:tc>
        <w:tc>
          <w:tcPr>
            <w:tcW w:w="2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366404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rFonts w:ascii="Consolas" w:eastAsia="Consolas" w:hAnsi="Consolas" w:cs="Consolas"/>
                <w:sz w:val="18"/>
                <w:szCs w:val="18"/>
                <w:color w:val="202020"/>
              </w:rPr>
              <w:t>evento_tecnico_ingesta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A5B674" w14:textId="77777777" w:rsidR="00806184" w:rsidRDefault="000218BE">
            <w:pPr>
              <w:spacing w:before="40" w:after="40" w:line="240" w:lineRule="auto"/>
              <w:jc w:val="left"/>
            </w:pPr>
            <w:r>
              <w:rPr>
                <w:sz w:val="18"/>
                <w:szCs w:val="18"/>
                <w:color w:val="202020"/>
              </w:rPr>
              <w:t>id; origen; correlación; fecha; causa</w:t>
            </w:r>
          </w:p>
        </w:tc>
      </w:tr>
    </w:tbl>
    <w:p w14:paraId="3B61454C" w14:textId="77777777" w:rsidR="00806184" w:rsidRDefault="1984B891">
      <w:pPr>
        <w:pStyle w:val="heading20"/>
      </w:pPr>
      <w:r>
        <w:t>5.2 Verificación de criterios técnicos</w:t>
      </w:r>
    </w:p>
    <w:tbl>
      <w:tblPr>
        <w:tblInd w:w="-7" w:type="dxa"/>
        <w:tblLook w:val="04A0" w:firstRow="1" w:lastRow="0" w:firstColumn="1" w:lastColumn="0" w:noHBand="0" w:noVBand="1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200"/>
        <w:gridCol w:w="5160"/>
      </w:tblGrid>
      <w:tr w:rsidR="00806184" w14:paraId="65C83B42" w14:textId="77777777" w:rsidTr="1984B8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1F3864"/>
            <w:vAlign w:val="center"/>
          </w:tcPr>
          <w:p w14:paraId="784CEF5B" w14:textId="77777777" w:rsidR="00806184" w:rsidRDefault="1984B891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8"/>
                <w:szCs w:val="18"/>
                <w:color w:val="FFFFFF"/>
              </w:rPr>
              <w:t>Criterio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  <w:shd w:val="clear" w:color="auto" w:fill="1F3864"/>
            <w:vAlign w:val="center"/>
          </w:tcPr>
          <w:p w14:paraId="3A76D1AC" w14:textId="77777777" w:rsidR="00806184" w:rsidRDefault="1984B891">
            <w:pPr>
              <w:spacing w:before="40" w:after="40" w:line="240" w:lineRule="auto"/>
              <w:jc w:val="center"/>
            </w:pPr>
            <w:r>
              <w:rPr>
                <w:b/>
                <w:bCs/>
                <w:sz w:val="18"/>
                <w:szCs w:val="18"/>
                <w:color w:val="FFFFFF"/>
              </w:rPr>
              <w:t>Estado en el modelo relacional</w:t>
            </w:r>
          </w:p>
        </w:tc>
      </w:tr>
      <w:tr w:rsidR="00806184" w14:paraId="263B3D4B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85BF49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Motor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2B8A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Objetivo: InnoDB; tres nodos, Router y escritor único.</w:t>
            </w:r>
          </w:p>
        </w:tc>
      </w:tr>
      <w:tr w:rsidR="00806184" w14:paraId="263B3D4B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85BF49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Identificadores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2B8A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PK explícitas y claves externas únicas.</w:t>
            </w:r>
          </w:p>
        </w:tc>
      </w:tr>
      <w:tr w:rsidR="00806184" w14:paraId="263B3D4B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85BF49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Estados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2B8A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Catálogos controlados y transiciones validadas por API.</w:t>
            </w:r>
          </w:p>
        </w:tc>
      </w:tr>
      <w:tr w:rsidR="00806184" w14:paraId="263B3D4B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85BF49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Fechas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2B8A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Origen y recepción UTC separados.</w:t>
            </w:r>
          </w:p>
        </w:tc>
      </w:tr>
      <w:tr w:rsidR="00806184" w14:paraId="263B3D4B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85BF49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Unicidad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2B8A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Idempotencia de dispositivos, Forms, calendario y Zabbix.</w:t>
            </w:r>
          </w:p>
        </w:tc>
      </w:tr>
      <w:tr w:rsidR="00806184" w14:paraId="263B3D4B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85BF49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Integridad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2B8A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FK y retiro lógico; conservar historial.</w:t>
            </w:r>
          </w:p>
        </w:tc>
      </w:tr>
      <w:tr w:rsidR="00806184" w14:paraId="263B3D4B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85BF49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Inmutabilidad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2B8A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Restringir cambios en tablas de eventos e historial.</w:t>
            </w:r>
          </w:p>
        </w:tc>
      </w:tr>
      <w:tr w:rsidR="00806184" w14:paraId="263B3D4B" w14:textId="77777777" w:rsidTr="1984B891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85BF49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Validación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FE2B8A" w14:textId="77777777" w:rsidR="00806184" w:rsidRDefault="1984B891">
            <w:pPr>
              <w:spacing w:before="40" w:after="40" w:line="240" w:lineRule="auto"/>
              <w:jc w:val="left"/>
            </w:pPr>
            <w:r>
              <w:rPr>
                <w:b/>
                <w:bCs/>
                <w:sz w:val="18"/>
                <w:szCs w:val="18"/>
                <w:color w:val="202020"/>
              </w:rPr>
              <w:t>Migraciones y pruebas pendientes en #9; no afirmar ejecución.</w:t>
            </w:r>
          </w:p>
        </w:tc>
      </w:tr>
    </w:tbl>
    <w:p w14:paraId="762653AD" w14:textId="77777777" w:rsidR="00806184" w:rsidRDefault="1984B891">
      <w:pPr>
        <w:pStyle w:val="heading20"/>
      </w:pPr>
      <w:r>
        <w:t>5.3 Diferencias intencionales (modelo conceptual vs. físico)</w:t>
      </w:r>
    </w:p>
    <w:p w14:paraId="62E46166" w14:textId="77777777" w:rsidR="00806184" w:rsidRDefault="1984B891">
      <w:pPr>
        <w:spacing w:after="120" w:line="276" w:lineRule="auto"/>
        <w:jc w:val="both"/>
      </w:pPr>
      <w:r>
        <w:t>El diagrama de clases es conceptual; el modelo físico incorpora refinamientos que no alteran la semántica, sino que la hacen operativa. Estas diferencias son intencionales y consistentes:</w:t>
      </w:r>
    </w:p>
    <w:p w14:paraId="5F5E41CF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Medicion conserva identificador idempotente, fecha del dispositivo, recepción UTC y origen real/simulado.</w:t>
      </w:r>
    </w:p>
    <w:p w14:paraId="7EBA5686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Sensor conserva credencial protegida; los secretos externos no se publican.</w:t>
      </w:r>
    </w:p>
    <w:p w14:paraId="5C88FD9F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UmbralAmbiental identifica zona o dispositivo; definir precedencia antes de admitir configuraciones simultáneas.</w:t>
      </w:r>
    </w:p>
    <w:p w14:paraId="202A67B5" w14:textId="77777777" w:rsidR="00806184" w:rsidRDefault="1984B891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El volumen depende del intervalo acordado y de las pruebas. No se exige particionamiento por una frecuencia no confirmada.</w:t>
      </w:r>
    </w:p>
    <w:p w14:paraId="4E1F9A16" w14:textId="77777777" w:rsidR="00806184" w:rsidRDefault="1984B891">
      <w:pPr>
        <w:pStyle w:val="heading10"/>
      </w:pPr>
      <w:r>
        <w:t>Referencias</w:t>
      </w:r>
    </w:p>
    <w:p w14:paraId="23D44CDA" w14:textId="77777777" w:rsidR="00806184" w:rsidRDefault="1984B891">
      <w:pPr>
        <w:spacing w:after="120" w:line="276" w:lineRule="auto"/>
        <w:jc w:val="both"/>
      </w:pPr>
      <w:r>
        <w:t>Equipo SICMA. (2026). Instrucciones; RHU, casos y modelo de datos revisados el 5 de octubre de 2026.</w:t>
      </w:r>
    </w:p>
    <w:p w14:paraId="5DAB6C7B" w14:textId="77777777" w:rsidR="00806184" w:rsidRDefault="00806184">
      <w:pPr>
        <w:sectPr w:rsidR="00806184">
          <w:footerReference w:type="default" r:id="rIdFtr"/>
          <w:footerReference w:type="first" r:id="rIdFtrFirst"/>
          <w:headerReference w:type="default" r:id="rIdHdr"/>
          <w:headerReference w:type="first" r:id="rIdHdrFirst"/>
          <w:pgSz w:w="11906" w:h="16838"/>
          <w:pgMar w:top="1134" w:right="1417" w:bottom="1134" w:left="1417" w:header="567" w:footer="567" w:gutter="0"/>
          <w:cols w:space="720"/>
          <w:docGrid w:linePitch="360"/>
          <w:titlePg/>
        </w:sectPr>
      </w:pPr>
    </w:p>
    <w:p w14:paraId="43FFCF3F" w14:textId="77777777" w:rsidR="00806184" w:rsidRDefault="1984B891">
      <w:pPr>
        <w:pStyle w:val="heading10"/>
      </w:pPr>
      <w:r>
        <w:t>Anexo A. Diagrama de clases UML</w:t>
      </w:r>
    </w:p>
    <w:p w14:paraId="21EBDD5B" w14:textId="77777777" w:rsidR="00806184" w:rsidRDefault="1984B891">
      <w:pPr>
        <w:spacing w:after="120"/>
      </w:pPr>
      <w:r>
        <w:rPr>
          <w:color w:val="444444"/>
          <w:sz w:val="20"/>
          <w:szCs w:val="20"/>
        </w:rPr>
        <w:t>Modelo conceptual vigente. Las relaciones se detallan en la sección 3; los atributos físicos completos y migraciones se validan en #9.</w:t>
      </w:r>
    </w:p>
    <w:p w14:paraId="02EB378F" w14:textId="77777777" w:rsidR="00806184" w:rsidRDefault="000218BE">
      <w:pPr>
        <w:jc w:val="center"/>
      </w:pPr>
      <w:r>
        <w:rPr>
          <w:noProof/>
        </w:rPr>
        <w:drawing>
          <wp:inline distT="0" distB="0" distL="0" distR="0" wp14:anchorId="6F68FDC7" wp14:editId="07777777">
            <wp:extent cx="5852160" cy="4242816"/>
            <wp:effectExtent l="0" t="0" r="0" b="0"/>
            <wp:docPr id="1" name="SICMA UML" descr="Diagrama UML del modelo de datos" title="Diagrama de clases SIC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2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184">
      <w:footerReference w:type="default" r:id="rIdFtr"/>
      <w:footerReference w:type="first" r:id="rIdFtrFirst"/>
      <w:headerReference w:type="default" r:id="rIdHdr"/>
      <w:headerReference w:type="first" r:id="rIdHdrFirst"/>
      <w:pgSz w:w="11906" w:h="16838"/>
      <w:pgMar w:top="1134" w:right="141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D6609" w14:textId="77777777" w:rsidR="000218BE" w:rsidRDefault="000218BE">
      <w:r>
        <w:separator/>
      </w:r>
    </w:p>
  </w:endnote>
  <w:endnote w:type="continuationSeparator" w:id="0">
    <w:p w14:paraId="4EE415DE" w14:textId="77777777" w:rsidR="000218BE" w:rsidRDefault="00021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>
    <w:pPr>
      <w:jc w:val="center"/>
      <w:spacing w:after="0"/>
    </w:pPr>
    <w:r>
      <w:rPr>
        <w:sz w:val="16"/>
        <w:szCs w:val="16"/>
        <w:color w:val="808080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6"/>
        <w:szCs w:val="16"/>
        <w:color w:val="808080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FB847" w14:textId="77777777" w:rsidR="000218BE" w:rsidRDefault="000218BE">
      <w:r>
        <w:separator/>
      </w:r>
    </w:p>
  </w:footnote>
  <w:footnote w:type="continuationSeparator" w:id="0">
    <w:p w14:paraId="18F0879B" w14:textId="77777777" w:rsidR="000218BE" w:rsidRDefault="000218BE">
      <w:r>
        <w:continuationSeparator/>
      </w:r>
    </w:p>
  </w:footnote>
</w:footnotes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>
    <w:pPr>
      <w:jc w:val="right"/>
      <w:pBdr>
        <w:bottom w:val="single" w:sz="6" w:space="4" w:color="BFBFBF"/>
      </w:pBdr>
      <w:spacing w:after="0"/>
    </w:pPr>
    <w:r>
      <w:rPr>
        <w:sz w:val="16"/>
        <w:szCs w:val="16"/>
        <w:color w:val="808080"/>
      </w:rPr>
      <w:t xml:space="preserve">SICMA · Diagrama de Clases · Duoc UC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6BAF6"/>
    <w:multiLevelType w:val="hybridMultilevel"/>
    <w:tmpl w:val="FFFFFFFF"/>
    <w:lvl w:ilvl="0" w:tplc="8EF0008C">
      <w:start w:val="1"/>
      <w:numFmt w:val="bullet"/>
      <w:lvlText w:val="•"/>
      <w:lvlJc w:val="left"/>
      <w:pPr>
        <w:ind w:left="620" w:hanging="320"/>
      </w:pPr>
    </w:lvl>
    <w:lvl w:ilvl="1" w:tplc="4BD80B7C">
      <w:numFmt w:val="decimal"/>
      <w:lvlText w:val=""/>
      <w:lvlJc w:val="left"/>
    </w:lvl>
    <w:lvl w:ilvl="2" w:tplc="D04A5660">
      <w:numFmt w:val="decimal"/>
      <w:lvlText w:val=""/>
      <w:lvlJc w:val="left"/>
    </w:lvl>
    <w:lvl w:ilvl="3" w:tplc="1A160E06">
      <w:numFmt w:val="decimal"/>
      <w:lvlText w:val=""/>
      <w:lvlJc w:val="left"/>
    </w:lvl>
    <w:lvl w:ilvl="4" w:tplc="3A52AD02">
      <w:numFmt w:val="decimal"/>
      <w:lvlText w:val=""/>
      <w:lvlJc w:val="left"/>
    </w:lvl>
    <w:lvl w:ilvl="5" w:tplc="AE929F5A">
      <w:numFmt w:val="decimal"/>
      <w:lvlText w:val=""/>
      <w:lvlJc w:val="left"/>
    </w:lvl>
    <w:lvl w:ilvl="6" w:tplc="F23A2A8C">
      <w:numFmt w:val="decimal"/>
      <w:lvlText w:val=""/>
      <w:lvlJc w:val="left"/>
    </w:lvl>
    <w:lvl w:ilvl="7" w:tplc="89F6486A">
      <w:numFmt w:val="decimal"/>
      <w:lvlText w:val=""/>
      <w:lvlJc w:val="left"/>
    </w:lvl>
    <w:lvl w:ilvl="8" w:tplc="8E6C4440">
      <w:numFmt w:val="decimal"/>
      <w:lvlText w:val=""/>
      <w:lvlJc w:val="left"/>
    </w:lvl>
  </w:abstractNum>
  <w:abstractNum w:abstractNumId="1" w15:restartNumberingAfterBreak="0">
    <w:nsid w:val="4C85F43B"/>
    <w:multiLevelType w:val="hybridMultilevel"/>
    <w:tmpl w:val="FFFFFFFF"/>
    <w:lvl w:ilvl="0" w:tplc="8CFC3510">
      <w:start w:val="1"/>
      <w:numFmt w:val="bullet"/>
      <w:lvlText w:val="●"/>
      <w:lvlJc w:val="left"/>
      <w:pPr>
        <w:ind w:left="720" w:hanging="360"/>
      </w:pPr>
    </w:lvl>
    <w:lvl w:ilvl="1" w:tplc="37285624">
      <w:start w:val="1"/>
      <w:numFmt w:val="bullet"/>
      <w:lvlText w:val="○"/>
      <w:lvlJc w:val="left"/>
      <w:pPr>
        <w:ind w:left="1440" w:hanging="360"/>
      </w:pPr>
    </w:lvl>
    <w:lvl w:ilvl="2" w:tplc="1E32DDB8">
      <w:start w:val="1"/>
      <w:numFmt w:val="bullet"/>
      <w:lvlText w:val="■"/>
      <w:lvlJc w:val="left"/>
      <w:pPr>
        <w:ind w:left="2160" w:hanging="360"/>
      </w:pPr>
    </w:lvl>
    <w:lvl w:ilvl="3" w:tplc="87262B1E">
      <w:start w:val="1"/>
      <w:numFmt w:val="bullet"/>
      <w:lvlText w:val="●"/>
      <w:lvlJc w:val="left"/>
      <w:pPr>
        <w:ind w:left="2880" w:hanging="360"/>
      </w:pPr>
    </w:lvl>
    <w:lvl w:ilvl="4" w:tplc="816EB99A">
      <w:start w:val="1"/>
      <w:numFmt w:val="bullet"/>
      <w:lvlText w:val="○"/>
      <w:lvlJc w:val="left"/>
      <w:pPr>
        <w:ind w:left="3600" w:hanging="360"/>
      </w:pPr>
    </w:lvl>
    <w:lvl w:ilvl="5" w:tplc="D4D2F692">
      <w:start w:val="1"/>
      <w:numFmt w:val="bullet"/>
      <w:lvlText w:val="■"/>
      <w:lvlJc w:val="left"/>
      <w:pPr>
        <w:ind w:left="4320" w:hanging="360"/>
      </w:pPr>
    </w:lvl>
    <w:lvl w:ilvl="6" w:tplc="D5247DFC">
      <w:start w:val="1"/>
      <w:numFmt w:val="bullet"/>
      <w:lvlText w:val="●"/>
      <w:lvlJc w:val="left"/>
      <w:pPr>
        <w:ind w:left="5040" w:hanging="360"/>
      </w:pPr>
    </w:lvl>
    <w:lvl w:ilvl="7" w:tplc="C5724DE8">
      <w:start w:val="1"/>
      <w:numFmt w:val="bullet"/>
      <w:lvlText w:val="●"/>
      <w:lvlJc w:val="left"/>
      <w:pPr>
        <w:ind w:left="5760" w:hanging="360"/>
      </w:pPr>
    </w:lvl>
    <w:lvl w:ilvl="8" w:tplc="534CEF70">
      <w:start w:val="1"/>
      <w:numFmt w:val="bullet"/>
      <w:lvlText w:val="●"/>
      <w:lvlJc w:val="left"/>
      <w:pPr>
        <w:ind w:left="6480" w:hanging="360"/>
      </w:pPr>
    </w:lvl>
  </w:abstractNum>
  <w:num w:numId="1" w16cid:durableId="1339625215">
    <w:abstractNumId w:val="1"/>
    <w:lvlOverride w:ilvl="0">
      <w:startOverride w:val="1"/>
    </w:lvlOverride>
  </w:num>
  <w:num w:numId="2" w16cid:durableId="2402193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84B891"/>
    <w:rsid w:val="000218BE"/>
    <w:rsid w:val="007B1905"/>
    <w:rsid w:val="00806184"/>
    <w:rsid w:val="1984B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1AF9D"/>
  <w15:docId w15:val="{477B25D4-4348-4341-B877-A91036E0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cs="Calibri" w:eastAsia="Calibri"/>
        <w:color w:val="202020"/>
        <w:sz w:val="22"/>
        <w:szCs w:val="22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="Calibri" w:hAnsi="Calibri" w:cs="Calibri" w:eastAsia="Calibri"/>
      <w:color w:val="202020"/>
      <w:sz w:val="22"/>
      <w:szCs w:val="22"/>
    </w:rPr>
  </w:style>
  <w:style w:type="paragraph" w:styleId="Heading1">
    <w:name w:val="heading 1"/>
    <w:uiPriority w:val="9"/>
    <w:qFormat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20" w:after="120" w:line="276" w:lineRule="auto"/>
      <w:outlineLvl w:val="2"/>
    </w:pPr>
    <w:rPr>
      <w:rFonts w:ascii="Calibri" w:hAnsi="Calibri" w:cs="Calibri" w:eastAsia="Calibri"/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00" w:after="100" w:line="276" w:lineRule="auto"/>
      <w:outlineLvl w:val="3"/>
    </w:pPr>
    <w:rPr>
      <w:rFonts w:ascii="Calibri" w:hAnsi="Calibri" w:cs="Calibri" w:eastAsia="Calibri"/>
      <w:b/>
      <w:bCs/>
      <w:color w:val="404040"/>
      <w:sz w:val="22"/>
      <w:szCs w:val="22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keepNext/>
      <w:keepLines/>
      <w:spacing w:before="360" w:after="200" w:line="276" w:lineRule="auto"/>
      <w:pBdr>
        <w:bottom w:val="single" w:sz="8" w:space="4" w:color="1F3864"/>
      </w:pBdr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customStyle="1" w:styleId="heading20">
    <w:name w:val="heading 20"/>
    <w:qFormat/>
    <w:pPr>
      <w:keepNext/>
      <w:keepLines/>
      <w:spacing w:before="280" w:after="140" w:line="276" w:lineRule="auto"/>
      <w:outlineLvl w:val="1"/>
    </w:pPr>
    <w:rPr>
      <w:rFonts w:ascii="Calibri" w:hAnsi="Calibri" w:cs="Calibri" w:eastAsia="Calibri"/>
      <w:b/>
      <w:bCs/>
      <w:color w:val="2E5C8A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LogoSICMA" Type="http://schemas.openxmlformats.org/officeDocument/2006/relationships/image" Target="media/logoDuocSICMA.png"/><Relationship Id="rIdHdrFirst" Type="http://schemas.openxmlformats.org/officeDocument/2006/relationships/header" Target="header1.xml"/><Relationship Id="rIdHdr" Type="http://schemas.openxmlformats.org/officeDocument/2006/relationships/header" Target="header2.xml"/><Relationship Id="rIdFtrFirst" Type="http://schemas.openxmlformats.org/officeDocument/2006/relationships/footer" Target="footer1.xml"/><Relationship Id="rIdFtr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1528</Words>
  <Characters>8716</Characters>
  <Application>Microsoft Office Word</Application>
  <DocSecurity>0</DocSecurity>
  <Lines>72</Lines>
  <Paragraphs>20</Paragraphs>
  <ScaleCrop>false</ScaleCrop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- Diagrama de clases (respaldo y validación)</dc:title>
  <dc:creator>Alvaro Antonio Gonzalez Briones</dc:creator>
  <cp:lastModifiedBy>Alvaro Antonio Gonzalez Briones</cp:lastModifiedBy>
  <cp:revision>2</cp:revision>
  <dcterms:created xsi:type="dcterms:W3CDTF">2026-09-12T01:43:00Z</dcterms:created>
  <dcterms:modified xsi:type="dcterms:W3CDTF">2026-09-12T01:43:00Z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1047dbd-8090-45a6-8618-d1bf833905a1_Enabled">
    <vt:lpwstr>true</vt:lpwstr>
  </property>
  <property fmtid="{D5CDD505-2E9C-101B-9397-08002B2CF9AE}" pid="3" name="MSIP_Label_61047dbd-8090-45a6-8618-d1bf833905a1_SetDate">
    <vt:lpwstr>2026-09-12T01:43:14Z</vt:lpwstr>
  </property>
  <property fmtid="{D5CDD505-2E9C-101B-9397-08002B2CF9AE}" pid="4" name="MSIP_Label_61047dbd-8090-45a6-8618-d1bf833905a1_Method">
    <vt:lpwstr>Privileged</vt:lpwstr>
  </property>
  <property fmtid="{D5CDD505-2E9C-101B-9397-08002B2CF9AE}" pid="5" name="MSIP_Label_61047dbd-8090-45a6-8618-d1bf833905a1_Name">
    <vt:lpwstr>61047dbd-8090-45a6-8618-d1bf833905a1</vt:lpwstr>
  </property>
  <property fmtid="{D5CDD505-2E9C-101B-9397-08002B2CF9AE}" pid="6" name="MSIP_Label_61047dbd-8090-45a6-8618-d1bf833905a1_SiteId">
    <vt:lpwstr>85599d7a-6793-4bdb-a7f9-348037d4e472</vt:lpwstr>
  </property>
  <property fmtid="{D5CDD505-2E9C-101B-9397-08002B2CF9AE}" pid="7" name="MSIP_Label_61047dbd-8090-45a6-8618-d1bf833905a1_ActionId">
    <vt:lpwstr>8313b8dc-7cb3-4e28-92a7-ac85acc445c5</vt:lpwstr>
  </property>
  <property fmtid="{D5CDD505-2E9C-101B-9397-08002B2CF9AE}" pid="8" name="MSIP_Label_61047dbd-8090-45a6-8618-d1bf833905a1_ContentBits">
    <vt:lpwstr>0</vt:lpwstr>
  </property>
  <property fmtid="{D5CDD505-2E9C-101B-9397-08002B2CF9AE}" pid="9" name="MSIP_Label_61047dbd-8090-45a6-8618-d1bf833905a1_Tag">
    <vt:lpwstr>10, 0, 1, 2</vt:lpwstr>
  </property>
</Properties>
</file>