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FASE 1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Diagramas de actividad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Procesos, decisiones y excepciones · Datacenter simulado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Versión: 1.1 · revisión de alineación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Actualización: 5 de octubre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 xml:space="preserve">Catorce actividades principales alineadas con los casos de uso y el diagrama de clases.</w:t>
      </w:r>
    </w:p>
    <w:p w14:paraId="1552385D" w14:textId="77777777" w:rsidR="00EA274D" w:rsidRDefault="00000000">
      <w:r>
        <w:br w:type="page"/>
      </w:r>
    </w:p>
    <w:p>
      <w:pPr>
        <w:pStyle w:val="Heading1"/>
      </w:pPr>
      <w:r>
        <w:t>Índice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fldChar w:fldCharType="begin"/>
      </w:r>
      <w:r>
        <w:instrText> TOC \o "1-1" \h \z \u </w:instrText>
      </w:r>
      <w:r>
        <w:fldChar w:fldCharType="separate"/>
      </w:r>
      <w:r>
        <w:rPr>
          <w:b w:val="0"/>
          <w:sz w:val="20"/>
        </w:rPr>
        <w:t>1. Alcance y notación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DA-01. Autenticación y autorización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DA-02. Registro o actualización de activos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DA-03. Retiro lógico de activo</w:t>
        <w:tab/>
        <w:t>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DA-04. Recepción de mediciones</w:t>
        <w:tab/>
        <w:t>7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DA-05. Generación de alertas</w:t>
        <w:tab/>
        <w:t>8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DA-06. Configuración de umbrales</w:t>
        <w:tab/>
        <w:t>9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DA-07. Registro de accesos HID</w:t>
        <w:tab/>
        <w:t>10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DA-08. Solicitud y agenda</w:t>
        <w:tab/>
        <w:t>11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DA-09. Decisión y asignación</w:t>
        <w:tab/>
        <w:t>12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DA-10. Inicio de intervención</w:t>
        <w:tab/>
        <w:t>13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DA-11. Avance y cierre</w:t>
        <w:tab/>
        <w:t>14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DA-12. Sincronización Zabbix</w:t>
        <w:tab/>
        <w:t>15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DA-13. Notificaciones</w:t>
        <w:tab/>
        <w:t>16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DA-14. Datos e indicadores</w:t>
        <w:tab/>
        <w:t>17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2. Variantes y criterios de verificación</w:t>
        <w:tab/>
        <w:t>17</w:t>
      </w:r>
      <w:r>
        <w:fldChar w:fldCharType="end"/>
      </w:r>
    </w:p>
    <w:p>
      <w:r>
        <w:br w:type="page"/>
      </w:r>
    </w:p>
    <w:p w14:paraId="24DC1316" w14:textId="77777777" w:rsidR="00EA274D" w:rsidRDefault="00000000">
      <w:pPr>
        <w:pStyle w:val="Ttulo1"/>
        <w:spacing w:before="300" w:after="150"/>
      </w:pPr>
      <w:r>
        <w:lastRenderedPageBreak/>
        <w:t>1. Alcance y notación</w:t>
      </w:r>
    </w:p>
    <w:p w14:paraId="29D50856" w14:textId="77777777" w:rsidR="00EA274D" w:rsidRDefault="00000000">
      <w:pPr>
        <w:spacing w:after="150"/>
      </w:pPr>
      <w:r>
        <w:t>Los diagramas describen el comportamiento de los procesos principales de SICMA. Complementan los casos de uso y el modelo de clases: muestran el orden de las acciones, los controles y el resultado de las alternativas. No se requiere un diagrama separado por cada operación de consulta o configuración; las variantes se explican bajo cada figura.</w:t>
      </w:r>
    </w:p>
    <w:p w14:paraId="6CADA0CF" w14:textId="77777777" w:rsidR="00EA274D" w:rsidRDefault="00000000">
      <w:pPr>
        <w:spacing w:after="150"/>
      </w:pPr>
      <w:r>
        <w:t>Lectura. El círculo sólido indica inicio; el rectángulo redondeado, una acción; el rombo, una decisión; y el círculo doble, fin de la actividad. Las flechas indican flujo de control. Las guardas [Sí] y [No] son mutuamente excluyentes. Una salida lateral puede terminar con rechazo, diferimiento o un resultado válido, según el texto de la acción.</w:t>
      </w:r>
    </w:p>
    <w:p w14:paraId="5BFF0FAC" w14:textId="77777777" w:rsidR="00EA274D" w:rsidRDefault="00000000">
      <w:pPr>
        <w:spacing w:after="150"/>
      </w:pPr>
      <w:r>
        <w:t>Responsabilidad. Las acciones identifican al usuario, adaptador o SICMA cuando cambia el ejecutor. Los diagramas no usan carriles; el prefijo identifica al responsable. El programador interno es un disparador del sistema, no un usuario externo. Cada figura representa una ejecución, no un servicio que termina de funcionar.</w:t>
      </w:r>
    </w:p>
    <w:p w14:paraId="630917AB" w14:textId="77777777" w:rsidR="00EA274D" w:rsidRDefault="00000000">
      <w:pPr>
        <w:spacing w:after="150"/>
      </w:pPr>
      <w:r>
        <w:t>Reglas transversales. Las operaciones protegidas exigen sesión y rol en servidor, incluso cuando el dibujo omite esa comprobación inicial por brevedad. Todo cambio relevante conserva historial sin secretos. Las escrituras agrupadas se confirman atómicamente; ante fallo se revierte y se informa error. La aplicación móvil conserva su alcance de consulta.</w:t>
      </w:r>
    </w:p>
    <w:p w14:paraId="6EDDE152" w14:textId="77777777" w:rsidR="00EA274D" w:rsidRDefault="00000000">
      <w:pPr>
        <w:spacing w:after="150"/>
      </w:pPr>
      <w:r>
        <w:t>Se aplican los 31 RF y los 21 casos vigentes: eventos inalterables, decisión externa HID, calendario Power Automate y ejecución por Técnico asignado. No hay reservas ni cierre manual de alertas.</w:t>
      </w:r>
    </w:p>
    <w:p w14:paraId="5119FDB3" w14:textId="77777777" w:rsidR="00EA274D" w:rsidRDefault="00000000">
      <w:pPr>
        <w:spacing w:after="150"/>
      </w:pPr>
      <w:r>
        <w:t>Identificación. DA-01 a DA-14 numeran estas actividades. Las referencias CU identifican los casos de uso desarrollados. La relación con los requisitos funcionales se obtiene mediante la matriz RF-CU del documento de casos de uso. Este documento no sustituye el plan de pruebas ni la planificación del semestre.</w:t>
      </w:r>
    </w:p>
    <w:p w14:paraId="6D26A00E" w14:textId="77777777" w:rsidR="00EA274D" w:rsidRDefault="00000000">
      <w:pPr>
        <w:pStyle w:val="Ttulo1"/>
        <w:spacing w:before="300" w:after="150"/>
      </w:pPr>
      <w:r>
        <w:t>DA-01. Autenticación y autorización</w:t>
      </w:r>
    </w:p>
    <w:p w14:paraId="7DD725BB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5F2E8E5" wp14:editId="02DD91C1">
            <wp:extent cx="4381500" cy="3895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5F75" w14:textId="77777777" w:rsidR="00EA274D" w:rsidRDefault="00000000">
      <w:pPr>
        <w:spacing w:after="150"/>
      </w:pPr>
      <w:r>
        <w:rPr>
          <w:i/>
          <w:iCs/>
          <w:color w:val="595959"/>
        </w:rPr>
        <w:t>Figura 1. Autenticación y autorización. Elaboración propia.</w:t>
      </w:r>
    </w:p>
    <w:p w14:paraId="4B8DF454" w14:textId="77777777" w:rsidR="00EA274D" w:rsidRDefault="00000000">
      <w:pPr>
        <w:spacing w:after="150"/>
      </w:pPr>
      <w:r>
        <w:t>Sesión válida o invalidada. Tras revocación o inactividad, el JWT anterior no autoriza la API.</w:t>
      </w:r>
    </w:p>
    <w:p w14:paraId="1FE318C7" w14:textId="77777777" w:rsidR="00EA274D" w:rsidRDefault="00000000">
      <w:pPr>
        <w:spacing w:after="200"/>
      </w:pPr>
      <w:r>
        <w:rPr>
          <w:b/>
          <w:bCs/>
        </w:rPr>
        <w:t>Trazabilidad: CU-01; RF-ID-01, RF-ID-02, RF-ID-05.</w:t>
      </w:r>
    </w:p>
    <w:p w14:paraId="663A5119" w14:textId="77777777" w:rsidR="00EA274D" w:rsidRDefault="00000000">
      <w:pPr>
        <w:pStyle w:val="Ttulo1"/>
        <w:spacing w:before="300" w:after="150"/>
      </w:pPr>
      <w:r>
        <w:t>DA-02. Registro o actualización de activos</w:t>
      </w:r>
    </w:p>
    <w:p w14:paraId="66461EDF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92D56A2" wp14:editId="2B613D34">
            <wp:extent cx="4381500" cy="4686300"/>
            <wp:effectExtent l="0" t="0" r="0" b="0"/>
            <wp:docPr id="1390078072" name="Imagen 139007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3558" w14:textId="77777777" w:rsidR="00EA274D" w:rsidRDefault="00000000">
      <w:pPr>
        <w:spacing w:after="150"/>
      </w:pPr>
      <w:r>
        <w:rPr>
          <w:i/>
          <w:iCs/>
          <w:color w:val="595959"/>
        </w:rPr>
        <w:t>Figura 2. Registro o actualización de activos. Elaboración propia.</w:t>
      </w:r>
    </w:p>
    <w:p w14:paraId="4DDA2CC3" w14:textId="77777777" w:rsidR="00EA274D" w:rsidRDefault="00000000">
      <w:pPr>
        <w:spacing w:after="150"/>
      </w:pPr>
      <w:r>
        <w:t>Activo clasificado y trazable. El registro válido aparece en consulta; duplicados se rechazan.</w:t>
      </w:r>
    </w:p>
    <w:p w14:paraId="45F40CBB" w14:textId="77777777" w:rsidR="00EA274D" w:rsidRDefault="00000000">
      <w:pPr>
        <w:spacing w:after="200"/>
      </w:pPr>
      <w:r>
        <w:rPr>
          <w:b/>
          <w:bCs/>
        </w:rPr>
        <w:t>Trazabilidad: CU-04; RF-ACT-01, RF-ACT-02.</w:t>
      </w:r>
    </w:p>
    <w:p w14:paraId="3E993E3F" w14:textId="77777777" w:rsidR="00EA274D" w:rsidRDefault="00000000">
      <w:pPr>
        <w:pStyle w:val="Ttulo1"/>
        <w:spacing w:before="300" w:after="150"/>
      </w:pPr>
      <w:r>
        <w:t>DA-03. Retiro lógico de activo</w:t>
      </w:r>
    </w:p>
    <w:p w14:paraId="17F5C856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C75AEC6" wp14:editId="59BECA0B">
            <wp:extent cx="4381500" cy="4467225"/>
            <wp:effectExtent l="0" t="0" r="0" b="0"/>
            <wp:docPr id="1405722715" name="Imagen 140572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4FBA" w14:textId="77777777" w:rsidR="00EA274D" w:rsidRDefault="00000000">
      <w:pPr>
        <w:spacing w:after="150"/>
      </w:pPr>
      <w:r>
        <w:rPr>
          <w:i/>
          <w:iCs/>
          <w:color w:val="595959"/>
        </w:rPr>
        <w:t>Figura 3. Retiro lógico de activo. Elaboración propia.</w:t>
      </w:r>
    </w:p>
    <w:p w14:paraId="3EE66D29" w14:textId="77777777" w:rsidR="00EA274D" w:rsidRDefault="00000000">
      <w:pPr>
        <w:spacing w:after="150"/>
      </w:pPr>
      <w:r>
        <w:t>Activo retirado e historial consultable. No se elimina el historial; revisar regla de trabajo en curso con el equipo.</w:t>
      </w:r>
    </w:p>
    <w:p w14:paraId="28F68886" w14:textId="77777777" w:rsidR="00EA274D" w:rsidRDefault="00000000">
      <w:pPr>
        <w:spacing w:after="200"/>
      </w:pPr>
      <w:r>
        <w:rPr>
          <w:b/>
          <w:bCs/>
        </w:rPr>
        <w:t>Trazabilidad: CU-05; RF-ACT-01, RF-ACT-03.</w:t>
      </w:r>
    </w:p>
    <w:p w14:paraId="14E0533A" w14:textId="77777777" w:rsidR="00EA274D" w:rsidRDefault="00000000">
      <w:pPr>
        <w:pStyle w:val="Ttulo1"/>
        <w:spacing w:before="300" w:after="150"/>
      </w:pPr>
      <w:r>
        <w:t>DA-04. Recepción de mediciones</w:t>
      </w:r>
    </w:p>
    <w:p w14:paraId="7CE583AD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759DD91" wp14:editId="1D95C7CA">
            <wp:extent cx="4381500" cy="3895725"/>
            <wp:effectExtent l="0" t="0" r="0" b="0"/>
            <wp:docPr id="220191206" name="Imagen 22019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791D" w14:textId="77777777" w:rsidR="00EA274D" w:rsidRDefault="00000000">
      <w:pPr>
        <w:spacing w:after="150"/>
      </w:pPr>
      <w:r>
        <w:rPr>
          <w:i/>
          <w:iCs/>
          <w:color w:val="595959"/>
        </w:rPr>
        <w:t>Figura 4. Recepción de mediciones. Elaboración propia.</w:t>
      </w:r>
    </w:p>
    <w:p w14:paraId="7CA80B59" w14:textId="77777777" w:rsidR="00EA274D" w:rsidRDefault="00000000">
      <w:pPr>
        <w:spacing w:after="150"/>
      </w:pPr>
      <w:r>
        <w:t>Lectura válida o rechazo documentado. Se distinguen lectura real/simulada y hora de origen/recepción.</w:t>
      </w:r>
    </w:p>
    <w:p w14:paraId="55C84FEA" w14:textId="77777777" w:rsidR="00EA274D" w:rsidRDefault="00000000">
      <w:pPr>
        <w:spacing w:after="200"/>
      </w:pPr>
      <w:r>
        <w:rPr>
          <w:b/>
          <w:bCs/>
        </w:rPr>
        <w:t>Trazabilidad: CU-07; RF-AMB-01, RF-AMB-02.</w:t>
      </w:r>
    </w:p>
    <w:p w14:paraId="00AEA425" w14:textId="77777777" w:rsidR="00EA274D" w:rsidRDefault="00000000">
      <w:pPr>
        <w:pStyle w:val="Ttulo1"/>
        <w:spacing w:before="300" w:after="150"/>
      </w:pPr>
      <w:r>
        <w:t>DA-05. Generación de alertas</w:t>
      </w:r>
    </w:p>
    <w:p w14:paraId="46DBD4A4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61E4822" wp14:editId="22C1F939">
            <wp:extent cx="4381500" cy="3895725"/>
            <wp:effectExtent l="0" t="0" r="0" b="0"/>
            <wp:docPr id="328188274" name="Imagen 328188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7011" w14:textId="77777777" w:rsidR="00EA274D" w:rsidRDefault="00000000">
      <w:pPr>
        <w:spacing w:after="150"/>
      </w:pPr>
      <w:r>
        <w:rPr>
          <w:i/>
          <w:iCs/>
          <w:color w:val="595959"/>
        </w:rPr>
        <w:t>Figura 5. Generación de alertas. Elaboración propia.</w:t>
      </w:r>
    </w:p>
    <w:p w14:paraId="1FCD3556" w14:textId="77777777" w:rsidR="00EA274D" w:rsidRDefault="00000000">
      <w:pPr>
        <w:spacing w:after="150"/>
      </w:pPr>
      <w:r>
        <w:t>Alerta trazable. Se comprueba origen, condición y evidencia de envío; no se añade cierre manual.</w:t>
      </w:r>
    </w:p>
    <w:p w14:paraId="1E83F325" w14:textId="77777777" w:rsidR="00EA274D" w:rsidRDefault="00000000">
      <w:pPr>
        <w:spacing w:after="200"/>
      </w:pPr>
      <w:r>
        <w:rPr>
          <w:b/>
          <w:bCs/>
        </w:rPr>
        <w:t>Trazabilidad: CU-10; RF-AMB-04, RF-INF-02, RF-INF-03.</w:t>
      </w:r>
    </w:p>
    <w:p w14:paraId="4713902F" w14:textId="77777777" w:rsidR="00EA274D" w:rsidRDefault="00000000">
      <w:pPr>
        <w:pStyle w:val="Ttulo1"/>
        <w:spacing w:before="300" w:after="150"/>
      </w:pPr>
      <w:r>
        <w:t>DA-06. Configuración de umbrales</w:t>
      </w:r>
    </w:p>
    <w:p w14:paraId="548F2853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682D461" wp14:editId="641A4A74">
            <wp:extent cx="4381500" cy="3895725"/>
            <wp:effectExtent l="0" t="0" r="0" b="0"/>
            <wp:docPr id="1572759395" name="Imagen 1572759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DC69" w14:textId="77777777" w:rsidR="00EA274D" w:rsidRDefault="00000000">
      <w:pPr>
        <w:spacing w:after="150"/>
      </w:pPr>
      <w:r>
        <w:rPr>
          <w:i/>
          <w:iCs/>
          <w:color w:val="595959"/>
        </w:rPr>
        <w:t>Figura 6. Configuración de umbrales. Elaboración propia.</w:t>
      </w:r>
    </w:p>
    <w:p w14:paraId="22B65CF9" w14:textId="77777777" w:rsidR="00EA274D" w:rsidRDefault="00000000">
      <w:pPr>
        <w:spacing w:after="150"/>
      </w:pPr>
      <w:r>
        <w:t>Umbral aplicable identificado. La siguiente evaluación utiliza el umbral correspondiente.</w:t>
      </w:r>
    </w:p>
    <w:p w14:paraId="4919721B" w14:textId="77777777" w:rsidR="00EA274D" w:rsidRDefault="00000000">
      <w:pPr>
        <w:spacing w:after="200"/>
      </w:pPr>
      <w:r>
        <w:rPr>
          <w:b/>
          <w:bCs/>
        </w:rPr>
        <w:t>Trazabilidad: CU-08; RF-AMB-03.</w:t>
      </w:r>
    </w:p>
    <w:p w14:paraId="703B51BE" w14:textId="77777777" w:rsidR="00EA274D" w:rsidRDefault="00000000">
      <w:pPr>
        <w:pStyle w:val="Ttulo1"/>
        <w:spacing w:before="300" w:after="150"/>
      </w:pPr>
      <w:r>
        <w:t>DA-07. Registro de accesos HID</w:t>
      </w:r>
    </w:p>
    <w:p w14:paraId="2EBBE15B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FA72D57" wp14:editId="2B833D58">
            <wp:extent cx="4381500" cy="3895725"/>
            <wp:effectExtent l="0" t="0" r="0" b="0"/>
            <wp:docPr id="777471792" name="Imagen 77747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394C" w14:textId="77777777" w:rsidR="00EA274D" w:rsidRDefault="00000000">
      <w:pPr>
        <w:spacing w:after="150"/>
      </w:pPr>
      <w:r>
        <w:rPr>
          <w:i/>
          <w:iCs/>
          <w:color w:val="595959"/>
        </w:rPr>
        <w:t>Figura 7. Registro de accesos HID. Elaboración propia.</w:t>
      </w:r>
    </w:p>
    <w:p w14:paraId="27BFFF43" w14:textId="77777777" w:rsidR="00EA274D" w:rsidRDefault="00000000">
      <w:pPr>
        <w:spacing w:after="150"/>
      </w:pPr>
      <w:r>
        <w:t>Evento inalterable. SICMA no evalúa permisos físicos ni acciona cerraduras.</w:t>
      </w:r>
    </w:p>
    <w:p w14:paraId="0BB0817D" w14:textId="77777777" w:rsidR="00EA274D" w:rsidRDefault="00000000">
      <w:pPr>
        <w:spacing w:after="200"/>
      </w:pPr>
      <w:r>
        <w:rPr>
          <w:b/>
          <w:bCs/>
        </w:rPr>
        <w:t>Trazabilidad: CU-12; RF-ACC-01, RF-ACC-02, RF-ACC-03.</w:t>
      </w:r>
    </w:p>
    <w:p w14:paraId="0D644B37" w14:textId="77777777" w:rsidR="00EA274D" w:rsidRDefault="00000000">
      <w:pPr>
        <w:pStyle w:val="Ttulo1"/>
        <w:spacing w:before="300" w:after="150"/>
      </w:pPr>
      <w:r>
        <w:t>DA-08. Solicitud y agenda</w:t>
      </w:r>
    </w:p>
    <w:p w14:paraId="5BA6364D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4D53188" wp14:editId="61DA2311">
            <wp:extent cx="4381500" cy="4733925"/>
            <wp:effectExtent l="0" t="0" r="0" b="0"/>
            <wp:docPr id="778251702" name="Imagen 7782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0017" w14:textId="77777777" w:rsidR="00EA274D" w:rsidRDefault="00000000">
      <w:pPr>
        <w:spacing w:after="150"/>
      </w:pPr>
      <w:r>
        <w:rPr>
          <w:i/>
          <w:iCs/>
          <w:color w:val="595959"/>
        </w:rPr>
        <w:t>Figura 8. Solicitud y agenda. Elaboración propia.</w:t>
      </w:r>
    </w:p>
    <w:p w14:paraId="06D63D36" w14:textId="77777777" w:rsidR="00EA274D" w:rsidRDefault="00000000">
      <w:pPr>
        <w:spacing w:after="150"/>
      </w:pPr>
      <w:r>
        <w:t>Solicitud y agenda correlacionadas. La agenda externa no constituye aprobación ni reserva propia de SICMA.</w:t>
      </w:r>
    </w:p>
    <w:p w14:paraId="63F705B3" w14:textId="77777777" w:rsidR="00EA274D" w:rsidRDefault="00000000">
      <w:pPr>
        <w:spacing w:after="200"/>
      </w:pPr>
      <w:r>
        <w:rPr>
          <w:b/>
          <w:bCs/>
        </w:rPr>
        <w:t>Trazabilidad: CU-14; RF-INT-01, RF-INT-02.</w:t>
      </w:r>
    </w:p>
    <w:p w14:paraId="16A29000" w14:textId="77777777" w:rsidR="00EA274D" w:rsidRDefault="00000000">
      <w:pPr>
        <w:pStyle w:val="Ttulo1"/>
        <w:spacing w:before="300" w:after="150"/>
      </w:pPr>
      <w:r>
        <w:t>DA-09. Decisión y asignación</w:t>
      </w:r>
    </w:p>
    <w:p w14:paraId="757B2005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8803C43" wp14:editId="3A949E32">
            <wp:extent cx="4381500" cy="4791075"/>
            <wp:effectExtent l="0" t="0" r="0" b="0"/>
            <wp:docPr id="462185324" name="Imagen 46218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FB9" w14:textId="77777777" w:rsidR="00EA274D" w:rsidRDefault="00000000">
      <w:pPr>
        <w:spacing w:after="150"/>
      </w:pPr>
      <w:r>
        <w:rPr>
          <w:i/>
          <w:iCs/>
          <w:color w:val="595959"/>
        </w:rPr>
        <w:t>Figura 9. Decisión y asignación. Elaboración propia.</w:t>
      </w:r>
    </w:p>
    <w:p w14:paraId="7DCCF214" w14:textId="77777777" w:rsidR="00EA274D" w:rsidRDefault="00000000">
      <w:pPr>
        <w:spacing w:after="150"/>
      </w:pPr>
      <w:r>
        <w:t>Decisión e historial conservados. Confirmar key users–Jefatura; no se incorpora control de solapamientos.</w:t>
      </w:r>
    </w:p>
    <w:p w14:paraId="3A6FDA1C" w14:textId="77777777" w:rsidR="00EA274D" w:rsidRDefault="00000000">
      <w:pPr>
        <w:spacing w:after="200"/>
      </w:pPr>
      <w:r>
        <w:rPr>
          <w:b/>
          <w:bCs/>
        </w:rPr>
        <w:t>Trazabilidad: CU-15; RF-INT-03.</w:t>
      </w:r>
    </w:p>
    <w:p w14:paraId="700F2CED" w14:textId="77777777" w:rsidR="00EA274D" w:rsidRDefault="00000000">
      <w:pPr>
        <w:pStyle w:val="Ttulo1"/>
        <w:spacing w:before="300" w:after="150"/>
      </w:pPr>
      <w:r>
        <w:t>DA-10. Inicio de intervención</w:t>
      </w:r>
    </w:p>
    <w:p w14:paraId="113B6840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285C56B" wp14:editId="10F3913C">
            <wp:extent cx="4381500" cy="4333875"/>
            <wp:effectExtent l="0" t="0" r="0" b="0"/>
            <wp:docPr id="453177062" name="Imagen 453177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254F" w14:textId="77777777" w:rsidR="00EA274D" w:rsidRDefault="00000000">
      <w:pPr>
        <w:spacing w:after="150"/>
      </w:pPr>
      <w:r>
        <w:rPr>
          <w:i/>
          <w:iCs/>
          <w:color w:val="595959"/>
        </w:rPr>
        <w:t>Figura 10. Inicio de intervención. Elaboración propia.</w:t>
      </w:r>
    </w:p>
    <w:p w14:paraId="3F731B2B" w14:textId="77777777" w:rsidR="00EA274D" w:rsidRDefault="00000000">
      <w:pPr>
        <w:spacing w:after="150"/>
      </w:pPr>
      <w:r>
        <w:t>Ejecución y resultado trazables. No se agregan adjuntos, reservas ni excepciones de ventana propias.</w:t>
      </w:r>
    </w:p>
    <w:p w14:paraId="3DE627CC" w14:textId="77777777" w:rsidR="00EA274D" w:rsidRDefault="00000000">
      <w:pPr>
        <w:spacing w:after="200"/>
      </w:pPr>
      <w:r>
        <w:rPr>
          <w:b/>
          <w:bCs/>
        </w:rPr>
        <w:t>Trazabilidad: CU-16; RF-INT-05, RF-INT-06.</w:t>
      </w:r>
    </w:p>
    <w:p w14:paraId="41919B85" w14:textId="77777777" w:rsidR="00EA274D" w:rsidRDefault="00000000">
      <w:pPr>
        <w:pStyle w:val="Ttulo1"/>
        <w:spacing w:before="300" w:after="150"/>
      </w:pPr>
      <w:r>
        <w:t>DA-11. Avance y cierre</w:t>
      </w:r>
    </w:p>
    <w:p w14:paraId="0A081210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B176BE8" wp14:editId="7C939D90">
            <wp:extent cx="4381500" cy="4171950"/>
            <wp:effectExtent l="0" t="0" r="0" b="0"/>
            <wp:docPr id="1014640022" name="Imagen 101464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B3FF" w14:textId="77777777" w:rsidR="00EA274D" w:rsidRDefault="00000000">
      <w:pPr>
        <w:spacing w:after="150"/>
      </w:pPr>
      <w:r>
        <w:rPr>
          <w:i/>
          <w:iCs/>
          <w:color w:val="595959"/>
        </w:rPr>
        <w:t>Figura 11. Avance y cierre. Elaboración propia.</w:t>
      </w:r>
    </w:p>
    <w:p w14:paraId="736B22B6" w14:textId="77777777" w:rsidR="00EA274D" w:rsidRDefault="00000000">
      <w:pPr>
        <w:spacing w:after="150"/>
      </w:pPr>
      <w:r>
        <w:t>Ejecución y resultado trazables. No se agregan adjuntos, reservas ni excepciones de ventana propias.</w:t>
      </w:r>
    </w:p>
    <w:p w14:paraId="701FA1AA" w14:textId="77777777" w:rsidR="00EA274D" w:rsidRDefault="00000000">
      <w:pPr>
        <w:spacing w:after="200"/>
      </w:pPr>
      <w:r>
        <w:rPr>
          <w:b/>
          <w:bCs/>
        </w:rPr>
        <w:t>Trazabilidad: CU-16; RF-INT-05, RF-INT-06.</w:t>
      </w:r>
    </w:p>
    <w:p w14:paraId="0889F936" w14:textId="77777777" w:rsidR="00EA274D" w:rsidRDefault="00000000">
      <w:pPr>
        <w:pStyle w:val="Ttulo1"/>
        <w:spacing w:before="300" w:after="150"/>
      </w:pPr>
      <w:r>
        <w:t>DA-12. Sincronización Zabbix</w:t>
      </w:r>
    </w:p>
    <w:p w14:paraId="302A493C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61087EF" wp14:editId="033BC7F3">
            <wp:extent cx="4381500" cy="3895725"/>
            <wp:effectExtent l="0" t="0" r="0" b="0"/>
            <wp:docPr id="1149859684" name="Imagen 1149859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5A9C" w14:textId="77777777" w:rsidR="00EA274D" w:rsidRDefault="00000000">
      <w:pPr>
        <w:spacing w:after="150"/>
      </w:pPr>
      <w:r>
        <w:rPr>
          <w:i/>
          <w:iCs/>
          <w:color w:val="595959"/>
        </w:rPr>
        <w:t>Figura 12. Sincronización Zabbix. Elaboración propia.</w:t>
      </w:r>
    </w:p>
    <w:p w14:paraId="2FC90E61" w14:textId="77777777" w:rsidR="00EA274D" w:rsidRDefault="00000000">
      <w:pPr>
        <w:spacing w:after="150"/>
      </w:pPr>
      <w:r>
        <w:t>Estado y eventos trazables. Reintento no duplica problemas; no reemplaza a Zabbix.</w:t>
      </w:r>
    </w:p>
    <w:p w14:paraId="4F3974CE" w14:textId="77777777" w:rsidR="00EA274D" w:rsidRDefault="00000000">
      <w:pPr>
        <w:spacing w:after="200"/>
      </w:pPr>
      <w:r>
        <w:rPr>
          <w:b/>
          <w:bCs/>
        </w:rPr>
        <w:t>Trazabilidad: CU-18; RF-INF-01, RF-INF-02.</w:t>
      </w:r>
    </w:p>
    <w:p w14:paraId="6A42ED4F" w14:textId="77777777" w:rsidR="00EA274D" w:rsidRDefault="00000000">
      <w:pPr>
        <w:pStyle w:val="Ttulo1"/>
        <w:spacing w:before="300" w:after="150"/>
      </w:pPr>
      <w:r>
        <w:t>DA-13. Notificaciones</w:t>
      </w:r>
    </w:p>
    <w:p w14:paraId="2496CDD0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7726CE0" wp14:editId="6BC79EAC">
            <wp:extent cx="4381500" cy="3895725"/>
            <wp:effectExtent l="0" t="0" r="0" b="0"/>
            <wp:docPr id="155718144" name="Imagen 15571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5D6F" w14:textId="77777777" w:rsidR="00EA274D" w:rsidRDefault="00000000">
      <w:pPr>
        <w:spacing w:after="150"/>
      </w:pPr>
      <w:r>
        <w:rPr>
          <w:i/>
          <w:iCs/>
          <w:color w:val="595959"/>
        </w:rPr>
        <w:t>Figura 13. Notificaciones. Elaboración propia.</w:t>
      </w:r>
    </w:p>
    <w:p w14:paraId="00A73FFF" w14:textId="77777777" w:rsidR="00EA274D" w:rsidRDefault="00000000">
      <w:pPr>
        <w:spacing w:after="150"/>
      </w:pPr>
      <w:r>
        <w:t>Intento de envío trazable. Aceptación SMTP no se presenta como lectura del destinatario.</w:t>
      </w:r>
    </w:p>
    <w:p w14:paraId="2B4ED6DB" w14:textId="77777777" w:rsidR="00EA274D" w:rsidRDefault="00000000">
      <w:pPr>
        <w:spacing w:after="200"/>
      </w:pPr>
      <w:r>
        <w:rPr>
          <w:b/>
          <w:bCs/>
        </w:rPr>
        <w:t>Trazabilidad: CU-11; RF-AMB-04, RF-INF-03, RF-INT-04.</w:t>
      </w:r>
    </w:p>
    <w:p w14:paraId="0A955266" w14:textId="77777777" w:rsidR="00EA274D" w:rsidRDefault="00000000">
      <w:pPr>
        <w:pStyle w:val="Ttulo1"/>
        <w:spacing w:before="300" w:after="150"/>
      </w:pPr>
      <w:r>
        <w:t>DA-14. Datos e indicadores</w:t>
      </w:r>
    </w:p>
    <w:p w14:paraId="1D86D2EF" w14:textId="77777777" w:rsidR="00EA274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41F2066" wp14:editId="192AC2E5">
            <wp:extent cx="4381500" cy="3895725"/>
            <wp:effectExtent l="0" t="0" r="0" b="0"/>
            <wp:docPr id="29630825" name="Imagen 2963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DBAC" w14:textId="77777777" w:rsidR="00EA274D" w:rsidRDefault="00000000">
      <w:pPr>
        <w:spacing w:after="150"/>
      </w:pPr>
      <w:r>
        <w:rPr>
          <w:i/>
          <w:iCs/>
          <w:color w:val="595959"/>
        </w:rPr>
        <w:t>Figura 14. Datos e indicadores. Elaboración propia.</w:t>
      </w:r>
    </w:p>
    <w:p w14:paraId="17364A90" w14:textId="77777777" w:rsidR="00EA274D" w:rsidRDefault="00000000">
      <w:pPr>
        <w:spacing w:after="150"/>
      </w:pPr>
      <w:r>
        <w:t>Conjunto consumible por Power BI. Se contrasta con origen y se rechazan escrituras desde cuenta analítica.</w:t>
      </w:r>
    </w:p>
    <w:p w14:paraId="18D735DB" w14:textId="77777777" w:rsidR="00EA274D" w:rsidRDefault="00000000">
      <w:pPr>
        <w:spacing w:after="200"/>
      </w:pPr>
      <w:r>
        <w:rPr>
          <w:b/>
          <w:bCs/>
        </w:rPr>
        <w:t>Trazabilidad: CU-20; RF-BI-01.</w:t>
      </w:r>
    </w:p>
    <w:p w14:paraId="1339C73C" w14:textId="77777777" w:rsidR="00EA274D" w:rsidRDefault="00000000">
      <w:pPr>
        <w:pStyle w:val="Ttulo1"/>
        <w:spacing w:before="300" w:after="150"/>
      </w:pPr>
      <w:r>
        <w:t>2. Variantes y criterios de verificación</w:t>
      </w:r>
    </w:p>
    <w:p w14:paraId="2A9D16E0" w14:textId="77777777" w:rsidR="00EA274D" w:rsidRDefault="00000000">
      <w:pPr>
        <w:spacing w:after="150"/>
      </w:pPr>
      <w:r>
        <w:t>Configuración y recuperación: cuentas y umbrales requieren autorización y validación. Recuperación por enlace de un solo uso y 30 minutos; la inactividad de sesión vence a los 15 minutos.</w:t>
      </w:r>
    </w:p>
    <w:p w14:paraId="67834D30" w14:textId="77777777" w:rsidR="00EA274D" w:rsidRDefault="00000000">
      <w:pPr>
        <w:pStyle w:val="Ttulo2"/>
        <w:spacing w:before="250" w:after="120"/>
      </w:pPr>
      <w:r>
        <w:t>Datos y errores de integración</w:t>
      </w:r>
    </w:p>
    <w:p w14:paraId="33352505" w14:textId="77777777" w:rsidR="00EA274D" w:rsidRDefault="00000000">
      <w:pPr>
        <w:spacing w:after="150"/>
      </w:pPr>
      <w:r>
        <w:t>Se muestra fecha del último dato y un error explícito cuando falla la consulta. Esto no añade un módulo general de salud ni alertas por desconexión.</w:t>
      </w:r>
    </w:p>
    <w:p w14:paraId="18DA10F4" w14:textId="77777777" w:rsidR="00EA274D" w:rsidRDefault="00000000">
      <w:pPr>
        <w:spacing w:after="150"/>
      </w:pPr>
      <w:r>
        <w:t>Intervenciones: Forms recibe, Power Automate agenda, key users decide y asigna, Técnico ejecuta. Confirmar el rol que representa a key users. No se controla exclusividad ni ventanas propias.</w:t>
      </w:r>
    </w:p>
    <w:p w14:paraId="00C915D8" w14:textId="77777777" w:rsidR="00EA274D" w:rsidRDefault="00000000">
      <w:pPr>
        <w:spacing w:after="150"/>
      </w:pPr>
      <w:r>
        <w:t>Probar ambas ramas: credenciales inválidas, duplicados, datos inválidos, permiso insuficiente, intento HID permitido/denegado, fallo de conector, transición inválida, SMTP y Zabbix no disponibles. Registrar resultado y evidencia.</w:t>
      </w:r>
    </w:p>
    <w:p w14:paraId="3D57B199" w14:textId="77777777" w:rsidR="00EA274D" w:rsidRDefault="00000000">
      <w:pPr>
        <w:spacing w:after="150"/>
      </w:pPr>
      <w:r>
        <w:t>Las 14 actividades complementan los 21 casos vigentes y no agregan tareas u horas al Kanban. La dedicación confirmada es de 15 horas semanales por integrante: 3 personas × 15 h × 18 semanas = 810 horas-persona (270 por persona). El Kanban agrupa 36 tareas y 720 horas estimadas, con 90 horas de reserva dentro del mismo semestre; no son horas ejecutadas.</w:t>
      </w:r>
    </w:p>
    <w:p w14:paraId="684501EA" w14:textId="77777777" w:rsidR="00EA274D" w:rsidRDefault="00000000">
      <w:pPr>
        <w:pStyle w:val="Ttulo2"/>
        <w:spacing w:before="250" w:after="120"/>
      </w:pPr>
      <w:r>
        <w:t>Referencias</w:t>
      </w:r>
    </w:p>
    <w:p w14:paraId="3A675050" w14:textId="77777777" w:rsidR="00EA274D" w:rsidRDefault="00000000">
      <w:pPr>
        <w:spacing w:after="150"/>
      </w:pPr>
      <w:r>
        <w:t>Equipo SICMA. (2026). Instrucciones; RHU, casos, clases y planificación, revisión del 5 de octubre de 2026.</w:t>
      </w:r>
    </w:p>
    <w:p w14:paraId="2880F2E4" w14:textId="77777777" w:rsidR="00EA274D" w:rsidRDefault="00000000">
      <w:pPr>
        <w:spacing w:after="150"/>
      </w:pPr>
      <w:r>
        <w:t>Object Management Group. (2017). OMG Unified Modeling Language, Version 2.5.1. https://www.omg.org/spec/UML/2.5.1</w:t>
      </w:r>
    </w:p>
    <w:sectPr w:rsidR="00EA274D"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Diagramas de Actividad · Duoc UC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B6E49"/>
    <w:multiLevelType w:val="hybridMultilevel"/>
    <w:tmpl w:val="3566D7C6"/>
    <w:lvl w:ilvl="0" w:tplc="8892A890">
      <w:start w:val="1"/>
      <w:numFmt w:val="bullet"/>
      <w:lvlText w:val="●"/>
      <w:lvlJc w:val="left"/>
      <w:pPr>
        <w:ind w:left="720" w:hanging="360"/>
      </w:pPr>
    </w:lvl>
    <w:lvl w:ilvl="1" w:tplc="233E8982">
      <w:start w:val="1"/>
      <w:numFmt w:val="bullet"/>
      <w:lvlText w:val="○"/>
      <w:lvlJc w:val="left"/>
      <w:pPr>
        <w:ind w:left="1440" w:hanging="360"/>
      </w:pPr>
    </w:lvl>
    <w:lvl w:ilvl="2" w:tplc="AFBA1534">
      <w:start w:val="1"/>
      <w:numFmt w:val="bullet"/>
      <w:lvlText w:val="■"/>
      <w:lvlJc w:val="left"/>
      <w:pPr>
        <w:ind w:left="2160" w:hanging="360"/>
      </w:pPr>
    </w:lvl>
    <w:lvl w:ilvl="3" w:tplc="AE2C425E">
      <w:start w:val="1"/>
      <w:numFmt w:val="bullet"/>
      <w:lvlText w:val="●"/>
      <w:lvlJc w:val="left"/>
      <w:pPr>
        <w:ind w:left="2880" w:hanging="360"/>
      </w:pPr>
    </w:lvl>
    <w:lvl w:ilvl="4" w:tplc="93BC14F8">
      <w:start w:val="1"/>
      <w:numFmt w:val="bullet"/>
      <w:lvlText w:val="○"/>
      <w:lvlJc w:val="left"/>
      <w:pPr>
        <w:ind w:left="3600" w:hanging="360"/>
      </w:pPr>
    </w:lvl>
    <w:lvl w:ilvl="5" w:tplc="E6A6F61E">
      <w:start w:val="1"/>
      <w:numFmt w:val="bullet"/>
      <w:lvlText w:val="■"/>
      <w:lvlJc w:val="left"/>
      <w:pPr>
        <w:ind w:left="4320" w:hanging="360"/>
      </w:pPr>
    </w:lvl>
    <w:lvl w:ilvl="6" w:tplc="8C7AA2F2">
      <w:start w:val="1"/>
      <w:numFmt w:val="bullet"/>
      <w:lvlText w:val="●"/>
      <w:lvlJc w:val="left"/>
      <w:pPr>
        <w:ind w:left="5040" w:hanging="360"/>
      </w:pPr>
    </w:lvl>
    <w:lvl w:ilvl="7" w:tplc="B268DB84">
      <w:start w:val="1"/>
      <w:numFmt w:val="bullet"/>
      <w:lvlText w:val="●"/>
      <w:lvlJc w:val="left"/>
      <w:pPr>
        <w:ind w:left="5760" w:hanging="360"/>
      </w:pPr>
    </w:lvl>
    <w:lvl w:ilvl="8" w:tplc="117AB7C2">
      <w:start w:val="1"/>
      <w:numFmt w:val="bullet"/>
      <w:lvlText w:val="●"/>
      <w:lvlJc w:val="left"/>
      <w:pPr>
        <w:ind w:left="6480" w:hanging="360"/>
      </w:pPr>
    </w:lvl>
  </w:abstractNum>
  <w:num w:numId="1" w16cid:durableId="818963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4D"/>
    <w:rsid w:val="00225A54"/>
    <w:rsid w:val="00484CFC"/>
    <w:rsid w:val="00EA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209D"/>
  <w15:docId w15:val="{72D14E0F-46BB-44DD-BBE4-326DEF92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Ttulo1">
    <w:name w:val="heading 1"/>
    <w:uiPriority w:val="9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basedOn w:val="Normal"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basedOn w:val="Normal"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1676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Gonzalez Briones</cp:lastModifiedBy>
  <cp:revision>2</cp:revision>
  <dcterms:created xsi:type="dcterms:W3CDTF">2026-09-12T02:15:00Z</dcterms:created>
  <dcterms:modified xsi:type="dcterms:W3CDTF">2026-09-12T02:18:00Z</dcterms:modified>
</cp:coreProperties>
</file>