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 xmlns:pic="http://schemas.openxmlformats.org/drawingml/2006/picture">
      <w:pPr>
        <w:jc w:val="left"/>
        <w:spacing w:after="240"/>
      </w:pPr>
      <w:r>
        <w:drawing>
          <wp:inline distT="0" distB="0" distL="0" distR="0">
            <wp:extent cx="2232000" cy="721816"/>
            <wp:effectExtent l="0" t="0" r="0" b="0"/>
            <wp:docPr id="900" name="LogoDuoc" descr="Duoc UC - Escuela de Informatica y Telecomun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logo.png"/>
                    <pic:cNvPicPr/>
                  </pic:nvPicPr>
                  <pic:blipFill>
                    <a:blip r:embed="rIdLogoSICMA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jc w:val="center"/>
        <w:spacing w:before="0" w:after="80" w:line="276" w:lineRule="auto"/>
      </w:pPr>
      <w:r>
        <w:rPr>
          <w:rFonts w:ascii="Calibri" w:hAnsi="Calibri" w:cs="Calibri"/>
          <w:b/>
          <w:color w:val="7F7F7F"/>
          <w:sz w:val="18"/>
          <w:szCs w:val="18"/>
        </w:rPr>
        <w:t xml:space="preserve">CAPSTONE · FASE 1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1F3864"/>
          <w:sz w:val="64"/>
          <w:szCs w:val="64"/>
        </w:rPr>
        <w:t xml:space="preserve">SICMA</w:t>
      </w:r>
    </w:p>
    <w:p>
      <w:pPr>
        <w:jc w:val="center"/>
        <w:spacing w:before="0" w:after="200" w:line="276" w:lineRule="auto"/>
      </w:pPr>
      <w:r>
        <w:rPr>
          <w:rFonts w:ascii="Calibri" w:hAnsi="Calibri" w:cs="Calibri"/>
          <w:color w:val="202020"/>
          <w:sz w:val="24"/>
          <w:szCs w:val="24"/>
        </w:rPr>
        <w:t xml:space="preserve">Sistema Integrado de Control y Monitoreo de Activos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2E5C8A"/>
          <w:sz w:val="30"/>
          <w:szCs w:val="30"/>
        </w:rPr>
        <w:t xml:space="preserve">Estado de avance del proyecto</w:t>
      </w:r>
    </w:p>
    <w:p>
      <w:pPr>
        <w:jc w:val="center"/>
        <w:spacing w:before="0" w:after="120" w:line="276" w:lineRule="auto"/>
      </w:pPr>
      <w:r>
        <w:rPr>
          <w:rFonts w:ascii="Calibri" w:hAnsi="Calibri" w:cs="Calibri"/>
          <w:i/>
          <w:color w:val="595959"/>
          <w:sz w:val="21"/>
          <w:szCs w:val="21"/>
        </w:rPr>
        <w:t>Informe de seguimiento N.º 02 · Corte: 05/10/2026</w:t>
      </w:r>
    </w:p>
    <w:p>
      <w:pPr>
        <w:spacing w:before="0" w:after="16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Integrantes: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Álvaro Antonio González Briones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Claudio Alejandro Varas Toro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Fidel Argenis Rodríguez Prieto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Sección: </w:t>
      </w:r>
      <w:r>
        <w:rPr>
          <w:rFonts w:ascii="Calibri" w:hAnsi="Calibri" w:cs="Calibri"/>
          <w:color w:val="202020"/>
          <w:sz w:val="22"/>
          <w:szCs w:val="22"/>
        </w:rPr>
        <w:t xml:space="preserve">001V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Docente: </w:t>
      </w:r>
      <w:r>
        <w:rPr>
          <w:rFonts w:ascii="Calibri" w:hAnsi="Calibri" w:cs="Calibri"/>
          <w:color w:val="202020"/>
          <w:sz w:val="22"/>
          <w:szCs w:val="22"/>
        </w:rPr>
        <w:t xml:space="preserve">Luis Bravo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Sede/Campus: </w:t>
      </w:r>
      <w:r>
        <w:rPr>
          <w:rFonts w:ascii="Calibri" w:hAnsi="Calibri" w:cs="Calibri"/>
          <w:color w:val="202020"/>
          <w:sz w:val="22"/>
          <w:szCs w:val="22"/>
        </w:rPr>
        <w:t xml:space="preserve">Plaza Oeste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Versión: 1.1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Actualización: 5 de octubre de 2026</w:t>
      </w:r>
    </w:p>
    <w:p>
      <w:pPr>
        <w:spacing w:before="0" w:after="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0" w:line="276" w:lineRule="auto"/>
      </w:pPr>
      <w:r>
        <w:rPr>
          <w:rFonts w:ascii="Calibri" w:hAnsi="Calibri" w:cs="Calibri"/>
          <w:i/>
          <w:color w:val="595959"/>
          <w:sz w:val="20"/>
          <w:szCs w:val="20"/>
        </w:rPr>
        <w:t>Este corte revisa los documentos de GitHub y la organización del Kanban. No certifica ejecución del código ni pruebas físicas. La revisión documental no es una reunión ni una aprobación del equipo.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fldChar w:fldCharType="begin"/>
      </w:r>
      <w:r>
        <w:instrText> TOC \o "1-1" \h \z \u </w:instrText>
      </w:r>
      <w:r>
        <w:fldChar w:fldCharType="separate"/>
      </w:r>
      <w:r>
        <w:rPr>
          <w:b w:val="0"/>
          <w:sz w:val="20"/>
        </w:rPr>
        <w:t>1. Resumen del avance</w:t>
        <w:tab/>
        <w:t>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2. Entregables documentales al corte</w:t>
        <w:tab/>
        <w:t>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3. Seguimiento de las actividades del plan</w:t>
        <w:tab/>
        <w:t>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4. Observaciones y acciones de seguimiento</w:t>
        <w:tab/>
        <w:t>6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5. Evidencias y actualización del informe</w:t>
        <w:tab/>
        <w:t>7</w:t>
      </w:r>
      <w:r>
        <w:fldChar w:fldCharType="end"/>
      </w:r>
    </w:p>
    <w:p>
      <w:r>
        <w:br w:type="page"/>
      </w:r>
    </w:p>
    <w:p>
      <w:pPr>
        <w:pStyle w:val="Heading1"/>
      </w:pPr>
      <w:r>
        <w:t>1. Resumen del avance</w:t>
      </w:r>
    </w:p>
    <w:p>
      <w:r>
        <w:t>Se actualizan planificación, capacidad y documentos de diseño conforme a las instrucciones de SICMA. La dedicación confirmada es de 15 horas semanales por integrante: 3 personas × 15 h × 18 semanas = 810 horas-persona (270 por persona). El Kanban agrupa 36 tareas y 720 horas estimadas, con 90 horas de reserva dentro del mismo semestre; no son horas ejecutadas.</w:t>
      </w:r>
    </w:p>
    <w:p>
      <w:r>
        <w:t>Las versiones actualizadas requieren revisión conjunta. No se modifican firmas, actas ni reflexiones individuales para atribuir acuerdos o experiencias.</w:t>
      </w:r>
    </w:p>
    <w:p>
      <w:r>
        <w:t>El Kanban consolidado contiene 36 tarjetas y 720 h: 34 Por hacer (686 h), una En desarrollo (#6, 14 h), ninguna En revisión/pruebas y una Completada (#31, 20 h). Se archivaron 58 tarjetas: 43 agrupadas y 15 retiradas del alcance. Son estados y estimaciones del tablero; no sustituyen validación técnica ni registro de horas.</w:t>
      </w:r>
    </w:p>
    <w:p>
      <w:r>
        <w:rPr>
          <w:b/>
        </w:rPr>
        <w:t xml:space="preserve">Situación temporal. </w:t>
      </w:r>
      <w:r>
        <w:t>El plan conserva 18 semanas y actividades por semana. No se ha confirmado la fecha oficial de inicio ni la semana académica exacta del corte; no corresponde declarar adelanto, atraso o cumplimiento del cronograma con la información disponible.</w:t>
      </w:r>
    </w:p>
    <w:p>
      <w:r>
        <w:rPr>
          <w:b/>
        </w:rPr>
        <w:t xml:space="preserve">Alcance del reporte. </w:t>
      </w:r>
      <w:r>
        <w:t>Documentación grupal de SICMA, caso simulado. Las evidencias individuales quedan fuera de este corte. La presentación se mantiene para el final; no se consideran pendientes la versión inglesa optativa, CANVAS ni la planilla que entregará el docente.</w:t>
      </w:r>
    </w:p>
    <w:p>
      <w:pPr>
        <w:pStyle w:val="Heading2"/>
      </w:pPr>
      <w:r>
        <w:t>Criterios utilizados</w:t>
      </w:r>
    </w:p>
    <w:p>
      <w:r>
        <w:t>Finalizado por el equipo: estado indicado expresamente por el usuario. Versión disponible: archivo entregado, pendiente de aceptación conjunta. Formato preparado: estructura que requiere hechos reales. Pendiente: entregable aún no desarrollado en esta secuencia. No verificado: faltan evidencias para determinar el estado técnico.</w:t>
      </w:r>
    </w:p>
    <w:p>
      <w:r>
        <w:br w:type="page"/>
      </w:r>
    </w:p>
    <w:p>
      <w:pPr>
        <w:pStyle w:val="Heading1"/>
      </w:pPr>
      <w:r>
        <w:t>2. Entregables documentales al corte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00"/>
        <w:gridCol w:w="2350"/>
        <w:gridCol w:w="4186"/>
      </w:tblGrid>
      <w:tr>
        <w:trPr>
          <w:cantSplit/>
          <w:tblHeader/>
        </w:trPr>
        <w:tc>
          <w:tcPr>
            <w:tcW w:type="dxa" w:w="34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Entregable</w:t>
            </w:r>
          </w:p>
        </w:tc>
        <w:tc>
          <w:tcPr>
            <w:tcW w:type="dxa" w:w="235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Estado</w:t>
            </w:r>
          </w:p>
        </w:tc>
        <w:tc>
          <w:tcPr>
            <w:tcW w:type="dxa" w:w="418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Siguiente acción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1.5 Definición del Proyecto APT y carta Gantt</w:t>
            </w:r>
          </w:p>
        </w:tc>
        <w:tc>
          <w:tcPr>
            <w:tcW w:type="dxa" w:w="2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Actualizado</w:t>
            </w:r>
          </w:p>
        </w:tc>
        <w:tc>
          <w:tcPr>
            <w:tcW w:type="dxa" w:w="41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Revisar alcance, capacidad y Gantt de 18 semanas.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1.4 Evaluación formativa</w:t>
            </w:r>
          </w:p>
        </w:tc>
        <w:tc>
          <w:tcPr>
            <w:tcW w:type="dxa" w:w="23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Actualizado; revisión pendiente</w:t>
            </w:r>
          </w:p>
        </w:tc>
        <w:tc>
          <w:tcPr>
            <w:tcW w:type="dxa" w:w="41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Revisar versión coherente con 1.5 y plan.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Requerimientos</w:t>
            </w:r>
          </w:p>
        </w:tc>
        <w:tc>
          <w:tcPr>
            <w:tcW w:type="dxa" w:w="2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Versión disponible</w:t>
            </w:r>
          </w:p>
        </w:tc>
        <w:tc>
          <w:tcPr>
            <w:tcW w:type="dxa" w:w="41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Revisar prioridades, permisos y decisiones posteriores.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Casos de uso</w:t>
            </w:r>
          </w:p>
        </w:tc>
        <w:tc>
          <w:tcPr>
            <w:tcW w:type="dxa" w:w="23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Versión disponible</w:t>
            </w:r>
          </w:p>
        </w:tc>
        <w:tc>
          <w:tcPr>
            <w:tcW w:type="dxa" w:w="41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Contrastar actores y flujos con clases y actividades.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Diagrama de clases</w:t>
            </w:r>
          </w:p>
        </w:tc>
        <w:tc>
          <w:tcPr>
            <w:tcW w:type="dxa" w:w="2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Versión disponible</w:t>
            </w:r>
          </w:p>
        </w:tc>
        <w:tc>
          <w:tcPr>
            <w:tcW w:type="dxa" w:w="41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Revisar relaciones y decisiones D-01 a D-06 con el equipo.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Diagramas de actividad</w:t>
            </w:r>
          </w:p>
        </w:tc>
        <w:tc>
          <w:tcPr>
            <w:tcW w:type="dxa" w:w="23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Versión disponible</w:t>
            </w:r>
          </w:p>
        </w:tc>
        <w:tc>
          <w:tcPr>
            <w:tcW w:type="dxa" w:w="41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Validar decisiones, errores y resultados de los flujos.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Modelo de base de datos</w:t>
            </w:r>
          </w:p>
        </w:tc>
        <w:tc>
          <w:tcPr>
            <w:tcW w:type="dxa" w:w="2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Versión disponible</w:t>
            </w:r>
          </w:p>
        </w:tc>
        <w:tc>
          <w:tcPr>
            <w:tcW w:type="dxa" w:w="41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Revisar restricciones y viabilidad de implementación.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Mockups web y móvil</w:t>
            </w:r>
          </w:p>
        </w:tc>
        <w:tc>
          <w:tcPr>
            <w:tcW w:type="dxa" w:w="23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Versión disponible</w:t>
            </w:r>
          </w:p>
        </w:tc>
        <w:tc>
          <w:tcPr>
            <w:tcW w:type="dxa" w:w="41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Revisar recorridos, permisos y variantes de pantalla.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Stakeholders</w:t>
            </w:r>
          </w:p>
        </w:tc>
        <w:tc>
          <w:tcPr>
            <w:tcW w:type="dxa" w:w="2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Versión disponible</w:t>
            </w:r>
          </w:p>
        </w:tc>
        <w:tc>
          <w:tcPr>
            <w:tcW w:type="dxa" w:w="41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Acordar coordinación y revisiones con el equipo.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Plan del proyecto</w:t>
            </w:r>
          </w:p>
        </w:tc>
        <w:tc>
          <w:tcPr>
            <w:tcW w:type="dxa" w:w="23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Versión disponible</w:t>
            </w:r>
          </w:p>
        </w:tc>
        <w:tc>
          <w:tcPr>
            <w:tcW w:type="dxa" w:w="41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Capacidad confirmada; falta calendario oficial y carga semanal.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Actas de reunión</w:t>
            </w:r>
          </w:p>
        </w:tc>
        <w:tc>
          <w:tcPr>
            <w:tcW w:type="dxa" w:w="2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Formato preparado</w:t>
            </w:r>
          </w:p>
        </w:tc>
        <w:tc>
          <w:tcPr>
            <w:tcW w:type="dxa" w:w="41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Completar una copia por cada reunión real.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Estado de avance 02</w:t>
            </w:r>
          </w:p>
        </w:tc>
        <w:tc>
          <w:tcPr>
            <w:tcW w:type="dxa" w:w="23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Presente informe</w:t>
            </w:r>
          </w:p>
        </w:tc>
        <w:tc>
          <w:tcPr>
            <w:tcW w:type="dxa" w:w="41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Revisar y complementar con evidencia del equipo.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Resolución de conflictos</w:t>
            </w:r>
          </w:p>
        </w:tc>
        <w:tc>
          <w:tcPr>
            <w:tcW w:type="dxa" w:w="2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Formato disponible</w:t>
            </w:r>
          </w:p>
        </w:tc>
        <w:tc>
          <w:tcPr>
            <w:tcW w:type="dxa" w:w="41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Registrar solo conflictos reales.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Presentación HTML / PPTX</w:t>
            </w:r>
          </w:p>
        </w:tc>
        <w:tc>
          <w:tcPr>
            <w:tcW w:type="dxa" w:w="23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HTML actualizado; PPTX vacío</w:t>
            </w:r>
          </w:p>
        </w:tc>
        <w:tc>
          <w:tcPr>
            <w:tcW w:type="dxa" w:w="41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Preparar la presentación final en #79; el .pptx actual no es utilizable.</w:t>
            </w:r>
          </w:p>
        </w:tc>
      </w:tr>
    </w:tbl>
    <w:p>
      <w:r>
        <w:t>Se identifican seis documentos de diseño con versión disponible. Esta cobertura documental no equivale a seis productos aceptados ni a un porcentaje de implementación. Las revisiones del equipo y del docente deben registrarse por separado.</w:t>
      </w:r>
    </w:p>
    <w:p>
      <w:r>
        <w:br w:type="page"/>
      </w:r>
    </w:p>
    <w:p>
      <w:pPr>
        <w:pStyle w:val="Heading1"/>
      </w:pPr>
      <w:r>
        <w:t>3. Seguimiento de las actividades del plan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00"/>
        <w:gridCol w:w="3500"/>
        <w:gridCol w:w="3536"/>
      </w:tblGrid>
      <w:tr>
        <w:trPr>
          <w:cantSplit/>
          <w:tblHeader/>
        </w:trPr>
        <w:tc>
          <w:tcPr>
            <w:tcW w:type="dxa" w:w="29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Actividad / periodo base</w:t>
            </w:r>
          </w:p>
        </w:tc>
        <w:tc>
          <w:tcPr>
            <w:tcW w:type="dxa" w:w="35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Evidencia disponible</w:t>
            </w:r>
          </w:p>
        </w:tc>
        <w:tc>
          <w:tcPr>
            <w:tcW w:type="dxa" w:w="353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Estado verificable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A1 Planificación y requisitos</w:t>
              <w:br/>
              <w:t>S1–S3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Definición 1.5, requisitos y plan.</w:t>
            </w:r>
          </w:p>
        </w:tc>
        <w:tc>
          <w:tcPr>
            <w:tcW w:type="dxa" w:w="35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Plan y tablero consolidados; revisión conjunta pendiente.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A2 Arquitectura, datos y clúster</w:t>
              <w:br/>
              <w:t>S2–S15</w:t>
            </w:r>
          </w:p>
        </w:tc>
        <w:tc>
          <w:tcPr>
            <w:tcW w:type="dxa" w:w="3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Clases y modelo de base de datos.</w:t>
            </w:r>
          </w:p>
        </w:tc>
        <w:tc>
          <w:tcPr>
            <w:tcW w:type="dxa" w:w="35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Diseño parcial documentado; no se identifica un diagrama de arquitectura independiente validado.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A3 Prototipos</w:t>
              <w:br/>
              <w:t>S2–S5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Documento de mockups.</w:t>
            </w:r>
          </w:p>
        </w:tc>
        <w:tc>
          <w:tcPr>
            <w:tcW w:type="dxa" w:w="35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Vistas disponibles; validación con usuarios representados pendiente.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A4 Web, API y móvil</w:t>
              <w:br/>
              <w:t>S4–S16</w:t>
            </w:r>
          </w:p>
        </w:tc>
        <w:tc>
          <w:tcPr>
            <w:tcW w:type="dxa" w:w="3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No se aportó evidencia ejecutable para este corte.</w:t>
            </w:r>
          </w:p>
        </w:tc>
        <w:tc>
          <w:tcPr>
            <w:tcW w:type="dxa" w:w="35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Implementación no verificada.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A5 Monitoreo e integraciones</w:t>
              <w:br/>
              <w:t>S3–S16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Diseño de flujos, entidades e interfaces.</w:t>
            </w:r>
          </w:p>
        </w:tc>
        <w:tc>
          <w:tcPr>
            <w:tcW w:type="dxa" w:w="35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Integración física y extremo a extremo no verificadas.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A6 Seguridad y despliegue</w:t>
              <w:br/>
              <w:t>S2–S17</w:t>
            </w:r>
          </w:p>
        </w:tc>
        <w:tc>
          <w:tcPr>
            <w:tcW w:type="dxa" w:w="3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Reglas de permisos y protección documentadas.</w:t>
            </w:r>
          </w:p>
        </w:tc>
        <w:tc>
          <w:tcPr>
            <w:tcW w:type="dxa" w:w="35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Controles implementados y pruebas no verificados.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A7 Pruebas y calidad</w:t>
              <w:br/>
              <w:t>S3–S18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Escenarios propuestos en los documentos.</w:t>
            </w:r>
          </w:p>
        </w:tc>
        <w:tc>
          <w:tcPr>
            <w:tcW w:type="dxa" w:w="35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Resultados de ejecución no disponibles.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A8 Documentación y cierre</w:t>
              <w:br/>
              <w:t>S1–S18</w:t>
            </w:r>
          </w:p>
        </w:tc>
        <w:tc>
          <w:tcPr>
            <w:tcW w:type="dxa" w:w="3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Diseño, stakeholders, plan y formato de actas.</w:t>
            </w:r>
          </w:p>
        </w:tc>
        <w:tc>
          <w:tcPr>
            <w:tcW w:type="dxa" w:w="353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Documentación en avance; cierre y presentación pendientes.</w:t>
            </w:r>
          </w:p>
        </w:tc>
      </w:tr>
    </w:tbl>
    <w:p>
      <w:r>
        <w:t>Los periodos son relativos y sincronizados con 1.5. Las 18 semanas son relativas: Fase 1 S1–S4, Fase 2 S5–S15 y Fase 3 S16–S18. Falta la fecha oficial de inicio; no se afirma cumplimiento de plazos ni se inventan fechas académicas.</w:t>
      </w:r>
    </w:p>
    <w:p>
      <w:r>
        <w:t>La arquitectura figura como actividad en el 1.5. Los modelos de clases y datos no la sustituyen por completo: conviene identificar o preparar una vista de componentes y despliegue con interfaces y entornos antes de cerrar A2. Este punto es una observación de seguimiento, no una nueva exigencia atribuida al docente.</w:t>
      </w:r>
    </w:p>
    <w:p>
      <w:r>
        <w:br w:type="page"/>
      </w:r>
    </w:p>
    <w:p>
      <w:pPr>
        <w:pStyle w:val="Heading1"/>
      </w:pPr>
      <w:r>
        <w:t>4. Observaciones y acciones de seguimiento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50"/>
        <w:gridCol w:w="4500"/>
        <w:gridCol w:w="2486"/>
      </w:tblGrid>
      <w:tr>
        <w:trPr>
          <w:cantSplit/>
          <w:tblHeader/>
        </w:trPr>
        <w:tc>
          <w:tcPr>
            <w:tcW w:type="dxa" w:w="295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ID / observación</w:t>
            </w:r>
          </w:p>
        </w:tc>
        <w:tc>
          <w:tcPr>
            <w:tcW w:type="dxa" w:w="450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Acción propuesta</w:t>
            </w:r>
          </w:p>
        </w:tc>
        <w:tc>
          <w:tcPr>
            <w:tcW w:type="dxa" w:w="248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Responsable de coordinación</w:t>
            </w:r>
          </w:p>
        </w:tc>
      </w:tr>
      <w:tr>
        <w:trPr>
          <w:cantSplit/>
        </w:trPr>
        <w:tc>
          <w:tcPr>
            <w:tcW w:type="dxa" w:w="29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OBS-01 · Coherencia entre documentos</w:t>
            </w:r>
          </w:p>
        </w:tc>
        <w:tc>
          <w:tcPr>
            <w:tcW w:type="dxa" w:w="4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Sincronizar alcance, capacidad, referencias y diagramas; revisar los cambios del presente corte.</w:t>
            </w:r>
          </w:p>
        </w:tc>
        <w:tc>
          <w:tcPr>
            <w:tcW w:type="dxa" w:w="24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Claudio con revisión de Fidel y Álvaro.</w:t>
            </w:r>
          </w:p>
        </w:tc>
      </w:tr>
      <w:tr>
        <w:trPr>
          <w:cantSplit/>
        </w:trPr>
        <w:tc>
          <w:tcPr>
            <w:tcW w:type="dxa" w:w="29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OBS-02 · Capacidad confirmada</w:t>
            </w:r>
          </w:p>
        </w:tc>
        <w:tc>
          <w:tcPr>
            <w:tcW w:type="dxa" w:w="4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15 h semanales por persona; 810 h brutas, 720 estimadas y 90 de reserva. Distribuir por semana y registrar horas reales.</w:t>
            </w:r>
          </w:p>
        </w:tc>
        <w:tc>
          <w:tcPr>
            <w:tcW w:type="dxa" w:w="24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Los tres integrantes.</w:t>
            </w:r>
          </w:p>
        </w:tc>
      </w:tr>
      <w:tr>
        <w:trPr>
          <w:cantSplit/>
        </w:trPr>
        <w:tc>
          <w:tcPr>
            <w:tcW w:type="dxa" w:w="29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OBS-03 · Calendario sin fechas oficiales</w:t>
            </w:r>
          </w:p>
        </w:tc>
        <w:tc>
          <w:tcPr>
            <w:tcW w:type="dxa" w:w="4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Vincular S1–S18 con el calendario de la asignatura antes de medir desviaciones.</w:t>
            </w:r>
          </w:p>
        </w:tc>
        <w:tc>
          <w:tcPr>
            <w:tcW w:type="dxa" w:w="24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Claudio y equipo.</w:t>
            </w:r>
          </w:p>
        </w:tc>
      </w:tr>
      <w:tr>
        <w:trPr>
          <w:cantSplit/>
        </w:trPr>
        <w:tc>
          <w:tcPr>
            <w:tcW w:type="dxa" w:w="29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OBS-04 · Arquitectura por consolidar</w:t>
            </w:r>
          </w:p>
        </w:tc>
        <w:tc>
          <w:tcPr>
            <w:tcW w:type="dxa" w:w="4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Identificar la evidencia existente o completar la vista de componentes/despliegue.</w:t>
            </w:r>
          </w:p>
        </w:tc>
        <w:tc>
          <w:tcPr>
            <w:tcW w:type="dxa" w:w="24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Fidel y Álvaro.</w:t>
            </w:r>
          </w:p>
        </w:tc>
      </w:tr>
      <w:tr>
        <w:trPr>
          <w:cantSplit/>
        </w:trPr>
        <w:tc>
          <w:tcPr>
            <w:tcW w:type="dxa" w:w="29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OBS-05 · Reuniones sin actas aportadas</w:t>
            </w:r>
          </w:p>
        </w:tc>
        <w:tc>
          <w:tcPr>
            <w:tcW w:type="dxa" w:w="4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Completar el formato con reuniones reales y sus compromisos; no reconstruir acuerdos sin confirmación.</w:t>
            </w:r>
          </w:p>
        </w:tc>
        <w:tc>
          <w:tcPr>
            <w:tcW w:type="dxa" w:w="24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Claudio y participantes de cada reunión.</w:t>
            </w:r>
          </w:p>
        </w:tc>
      </w:tr>
      <w:tr>
        <w:trPr>
          <w:cantSplit/>
        </w:trPr>
        <w:tc>
          <w:tcPr>
            <w:tcW w:type="dxa" w:w="29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OBS-06 · Estado técnico no verificable</w:t>
            </w:r>
          </w:p>
        </w:tc>
        <w:tc>
          <w:tcPr>
            <w:tcW w:type="dxa" w:w="450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Aportar versión del código, instrucciones y resultados de prueba cuando existan.</w:t>
            </w:r>
          </w:p>
        </w:tc>
        <w:tc>
          <w:tcPr>
            <w:tcW w:type="dxa" w:w="24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Fidel y Álvaro; Claudio consolida evidencias.</w:t>
            </w:r>
          </w:p>
        </w:tc>
      </w:tr>
      <w:tr>
        <w:trPr>
          <w:cantSplit/>
        </w:trPr>
        <w:tc>
          <w:tcPr>
            <w:tcW w:type="dxa" w:w="29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OBS-07 · Entregables de Fase 1 pendientes</w:t>
            </w:r>
          </w:p>
        </w:tc>
        <w:tc>
          <w:tcPr>
            <w:tcW w:type="dxa" w:w="4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Revisar documentos actualizados; completar actas y conflictos solo con hechos; revisar presentación antes de la entrega final.</w:t>
            </w:r>
          </w:p>
        </w:tc>
        <w:tc>
          <w:tcPr>
            <w:tcW w:type="dxa" w:w="24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Equipo; 1.4 a cargo del compañero que lo revisa.</w:t>
            </w:r>
          </w:p>
        </w:tc>
      </w:tr>
    </w:tbl>
    <w:p>
      <w:r>
        <w:t>Las acciones siguientes distinguen decisiones confirmadas de revisiones pendientes. Cada cierre requiere evidencia, no solo un documento o una tarjeta marcada.</w:t>
      </w:r>
    </w:p>
    <w:p>
      <w:r>
        <w:t>Riesgos a vigilar: alcance amplio frente a capacidad disponible; incompatibilidad de hardware; falta de tiempo para integración y pruebas; documentación incoherente. No se reportan como incidentes ocurridos: su seguimiento corresponde al plan y a las evidencias posteriores.</w:t>
      </w:r>
    </w:p>
    <w:p>
      <w:r>
        <w:br w:type="page"/>
      </w:r>
    </w:p>
    <w:p>
      <w:pPr>
        <w:pStyle w:val="Heading1"/>
      </w:pPr>
      <w:r>
        <w:t>5. Evidencias y actualización del informe</w:t>
      </w:r>
    </w:p>
    <w:p>
      <w:r>
        <w:t>Las rutas vigentes se encuentran en Documentación/README.md y en el repositorio AlvaroGonbri/Capstone. Los antecedentes históricos se conservan identificados.</w:t>
      </w:r>
    </w:p>
    <w:tbl>
      <w:tblPr>
        <w:tblStyle w:val="TableGrid"/>
        <w:tblLayout w:type="fixed"/>
        <w:tblLook w:firstColumn="1" w:firstRow="1" w:lastColumn="0" w:lastRow="0" w:noHBand="0" w:noVBand="1" w:val="04A0"/>
        <w:tblInd w:w="120" w:type="dxa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50"/>
        <w:gridCol w:w="8386"/>
      </w:tblGrid>
      <w:tr>
        <w:trPr>
          <w:cantSplit/>
          <w:tblHeader/>
        </w:trPr>
        <w:tc>
          <w:tcPr>
            <w:tcW w:type="dxa" w:w="1550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Grupo</w:t>
            </w:r>
          </w:p>
        </w:tc>
        <w:tc>
          <w:tcPr>
            <w:tcW w:type="dxa" w:w="8386"/>
            <w:shd w:val="clear" w:color="auto" w:fill="1F386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>Archivos de referencia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Definición</w:t>
            </w:r>
          </w:p>
        </w:tc>
        <w:tc>
          <w:tcPr>
            <w:tcW w:type="dxa" w:w="83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Fase1/Evidencias Grupales/1.5_GuiaEstudiante_Fase 1_Definicion Proyecto APT.docx</w:t>
            </w:r>
          </w:p>
        </w:tc>
      </w:tr>
      <w:tr>
        <w:trPr>
          <w:cantSplit/>
        </w:trPr>
        <w:tc>
          <w:tcPr>
            <w:tcW w:type="dxa" w:w="1550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Diseño</w:t>
            </w:r>
          </w:p>
        </w:tc>
        <w:tc>
          <w:tcPr>
            <w:tcW w:type="dxa" w:w="8386"/>
            <w:shd w:val="clear" w:color="auto" w:fill="F7F9FC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Documentación/README.md: índice de los seis diseños vigentes y sus antecedentes.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Gestión</w:t>
            </w:r>
          </w:p>
        </w:tc>
        <w:tc>
          <w:tcPr>
            <w:tcW w:type="dxa" w:w="838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sz w:val="18"/>
                <w:szCs w:val="18"/>
                <w:color w:val="202020"/>
              </w:rPr>
              <w:t>Documentación/SICMA_Plan_del_Proyecto.docx</w:t>
              <w:br/>
              <w:t>Documentación/SICMA_Gestion_de_Stakeholders.docx</w:t>
              <w:br/>
              <w:t>Documentación/SICMA_Formato_Acta_de_Reunion.docx</w:t>
            </w:r>
          </w:p>
        </w:tc>
      </w:tr>
    </w:tbl>
    <w:p>
      <w:pPr>
        <w:pStyle w:val="Heading2"/>
      </w:pPr>
      <w:r>
        <w:t>Datos que requiere el próximo corte</w:t>
      </w:r>
    </w:p>
    <w:p>
      <w:r>
        <w:t>Registrar fecha y semana académica, tareas terminadas y aceptadas, tareas en curso, horas reales, defectos abiertos, bloqueos y evidencias vinculadas. Incluir observaciones recibidas del docente solo si se dispone de ellas, indicando fecha y tratamiento.</w:t>
      </w:r>
    </w:p>
    <w:p>
      <w:r>
        <w:t>No se calcula avance funcional global: existe una estimación de 720 h, pero no se ha auditado la aceptación técnica de los entregables. La tarjeta #31 completada conserva 20 h estimadas; no se presentan como horas reales.</w:t>
      </w:r>
    </w:p>
    <w:p>
      <w:r>
        <w:rPr>
          <w:b/>
        </w:rPr>
        <w:t xml:space="preserve">Revisión del equipo: </w:t>
      </w:r>
      <w:r>
        <w:t>Pendiente. Al validar este informe, registrar quién lo revisó, fecha y correcciones. No se presume aprobación por los tres integrantes.</w:t>
      </w:r>
    </w:p>
    <w:p>
      <w:pPr>
        <w:pStyle w:val="Heading2"/>
      </w:pPr>
      <w:r>
        <w:t>Referencias</w:t>
      </w:r>
    </w:p>
    <w:p>
      <w:r>
        <w:t>Equipo SICMA. (2026). Definición del Proyecto APT; documentos de diseño, gestión de stakeholders y plan del proyecto [Documentos académicos internos].</w:t>
      </w:r>
    </w:p>
    <w:sectPr w:rsidR="00FC693F" w:rsidRPr="0006063C" w:rsidSect="00034616">
      <w:footerReference w:type="default" r:id="rIdFtr"/>
      <w:footerReference w:type="first" r:id="rIdFtrFirst"/>
      <w:headerReference w:type="default" r:id="rIdHdr"/>
      <w:headerReference w:type="first" r:id="rIdHdrFirst"/>
      <w:pgSz w:w="11906" w:h="16838"/>
      <w:pgMar w:top="1134" w:right="1417" w:bottom="1134" w:left="1417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  <w:spacing w:after="0"/>
    </w:pPr>
    <w:r>
      <w:rPr>
        <w:sz w:val="16"/>
        <w:szCs w:val="16"/>
        <w:color w:val="80808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  <w:szCs w:val="16"/>
        <w:color w:val="80808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jc w:val="right"/>
      <w:pBdr>
        <w:bottom w:val="single" w:sz="6" w:space="4" w:color="BFBFBF"/>
      </w:pBdr>
      <w:spacing w:after="0"/>
    </w:pPr>
    <w:r>
      <w:rPr>
        <w:sz w:val="16"/>
        <w:szCs w:val="16"/>
        <w:color w:val="808080"/>
      </w:rPr>
      <w:t>SICMA · Estado de Avance N.º 02 · Duoc UC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color w:val="202020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 w:cs="Calibri" w:eastAsia="Calibri"/>
      <w:color w:val="20202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76" w:lineRule="auto"/>
      <w:outlineLvl w:val="2"/>
    </w:pPr>
    <w:rPr>
      <w:rFonts w:ascii="Calibri" w:hAnsi="Calibri" w:cs="Calibri" w:eastAsia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6" w:lineRule="auto"/>
      <w:outlineLvl w:val="3"/>
    </w:pPr>
    <w:rPr>
      <w:rFonts w:ascii="Calibri" w:hAnsi="Calibri" w:cs="Calibri" w:eastAsia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LogoSICMA" Type="http://schemas.openxmlformats.org/officeDocument/2006/relationships/image" Target="media/logoDuocSICMA.png"/><Relationship Id="rIdHdrFirst" Type="http://schemas.openxmlformats.org/officeDocument/2006/relationships/header" Target="header1.xml"/><Relationship Id="rIdHdr" Type="http://schemas.openxmlformats.org/officeDocument/2006/relationships/header" Target="header2.xml"/><Relationship Id="rIdFtrFirst" Type="http://schemas.openxmlformats.org/officeDocument/2006/relationships/footer" Target="footer1.xml"/><Relationship Id="rIdFtr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