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FASE 1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Modelo de base de datos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Visión general del modelo relacional y su alcance · Datacenter simulado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Versión: 1.1 · revisión de alineación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Actualización: 5 de octubre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>Modelo objetivo alineado con instrucciones y Kanban; implementación a verificar en #9.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fldChar w:fldCharType="begin"/>
      </w:r>
      <w:r>
        <w:instrText> TOC \o "1-1" \h \z \u </w:instrText>
      </w:r>
      <w:r>
        <w:fldChar w:fldCharType="separate"/>
      </w:r>
      <w:r>
        <w:rPr>
          <w:b w:val="0"/>
          <w:sz w:val="20"/>
        </w:rPr>
        <w:t>1. Alcance general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2. Criterios técnicos definidos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3. Relaciones entre entidades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4. Diccionario de datos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5. Integridad y estados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6. Concurrencia e integraciones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7. Seguridad, consultas y validación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Referencias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Anexo A. Diagrama entidad-relación</w:t>
        <w:tab/>
        <w:t>6</w:t>
      </w:r>
      <w:r>
        <w:fldChar w:fldCharType="end"/>
      </w:r>
    </w:p>
    <w:p>
      <w:r>
        <w:br w:type="page"/>
      </w:r>
    </w:p>
    <w:p w14:paraId="410E76F5" w14:textId="77777777" w:rsidR="00A86428" w:rsidRDefault="4A4461CE">
      <w:pPr>
        <w:pStyle w:val="heading10"/>
      </w:pPr>
      <w:r>
        <w:t>1. Alcance general</w:t>
      </w:r>
    </w:p>
    <w:p w14:paraId="01E18186" w14:textId="77777777" w:rsidR="00A86428" w:rsidRDefault="4A4461CE">
      <w:pPr>
        <w:spacing w:after="120" w:line="276" w:lineRule="auto"/>
        <w:jc w:val="both"/>
      </w:pPr>
      <w:r>
        <w:t>El modelo cubre los datos necesarios para los 31 RF vigentes. Se mantiene la arquitectura MySQL y se simplifican entidades según el alcance. La existencia del diseño no acredita migraciones ni despliegue.</w:t>
      </w:r>
    </w:p>
    <w:p w14:paraId="7D24A4B5" w14:textId="77777777" w:rsidR="00A86428" w:rsidRDefault="4A4461CE">
      <w:pPr>
        <w:spacing w:after="120" w:line="276" w:lineRule="auto"/>
        <w:jc w:val="both"/>
      </w:pPr>
      <w:r>
        <w:t>Las áreas funcionales cubiertas por el modelo son las siguientes:</w:t>
      </w:r>
    </w:p>
    <w:p w14:paraId="6F3AD9E1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Gestión de usuarios y accesos al sistema.</w:t>
      </w:r>
    </w:p>
    <w:p w14:paraId="3536CF66" w14:textId="77777777" w:rsidR="00A86428" w:rsidRDefault="00DE0607">
      <w:pPr>
        <w:pStyle w:val="ListParagraph"/>
        <w:numPr>
          <w:ilvl w:val="0"/>
          <w:numId w:val="2"/>
        </w:numPr>
        <w:spacing w:after="60"/>
      </w:pPr>
      <w:r>
        <w:t>Registro y seguimiento de activos.</w:t>
      </w:r>
    </w:p>
    <w:p w14:paraId="0641EFA6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Monitoreo ambiental (sensores y mediciones).</w:t>
      </w:r>
    </w:p>
    <w:p w14:paraId="1122671B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Gestión de alertas y notificaciones.</w:t>
      </w:r>
    </w:p>
    <w:p w14:paraId="4F53DAA9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Registro de decisiones de acceso físico recibidas de HID.</w:t>
      </w:r>
    </w:p>
    <w:p w14:paraId="2308CD89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Intervenciones y mantenimientos sobre activos.</w:t>
      </w:r>
    </w:p>
    <w:p w14:paraId="40088D3A" w14:textId="77777777" w:rsidR="00A86428" w:rsidRDefault="4A4461CE">
      <w:pPr>
        <w:pStyle w:val="ListParagraph"/>
        <w:numPr>
          <w:ilvl w:val="0"/>
          <w:numId w:val="2"/>
        </w:numPr>
        <w:spacing w:after="60"/>
      </w:pPr>
      <w:r>
        <w:t>Integraciones con sistemas externos.</w:t>
      </w:r>
    </w:p>
    <w:p w14:paraId="5B02141B" w14:textId="77777777" w:rsidR="00A86428" w:rsidRDefault="4A4461CE">
      <w:pPr>
        <w:spacing w:after="120" w:line="276" w:lineRule="auto"/>
        <w:jc w:val="both"/>
      </w:pPr>
      <w:r>
        <w:t>La aplicación web contempla operaciones de administración y gestión, mientras que la aplicación móvil es exclusivamente de consulta (solo lectura). El entorno de trabajo corresponde a un datacenter simulado para efectos del proyecto.</w:t>
      </w:r>
    </w:p>
    <w:p w14:paraId="310D37DC" w14:textId="77777777" w:rsidR="00A86428" w:rsidRDefault="4A4461CE">
      <w:pPr>
        <w:pStyle w:val="heading20"/>
      </w:pPr>
      <w:r>
        <w:t>1.1 Exclusiones explícitas del alcance</w:t>
      </w:r>
    </w:p>
    <w:p w14:paraId="040D9F6B" w14:textId="77777777" w:rsidR="00A86428" w:rsidRDefault="4A4461CE">
      <w:pPr>
        <w:spacing w:after="120" w:line="276" w:lineRule="auto"/>
        <w:jc w:val="both"/>
      </w:pPr>
      <w:r>
        <w:t>Con el fin de acotar el proyecto, las siguientes áreas quedan formalmente fuera del alcance del modelo de datos de negocio en esta fase:</w:t>
      </w:r>
    </w:p>
    <w:p w14:paraId="3B295B09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Auditoría general y trazabilidad transversal del sistema: </w:t>
      </w:r>
      <w:r>
        <w:t>no se modela una auditoría global. La trazabilidad se acota a entidades específicas cuando el requerimiento lo exige (por ejemplo, el historial de cambios de un activo).</w:t>
      </w:r>
    </w:p>
    <w:p w14:paraId="56D32E06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Parámetros generales de instalación fuera de la interfaz; umbrales ambientales y clasificación de activos se conservan.</w:t>
      </w:r>
    </w:p>
    <w:p w14:paraId="671AD376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Gestión de sesiones de usuario: </w:t>
      </w:r>
      <w:r>
        <w:t>es responsabilidad del framework de aplicación (Django) y no forma parte del modelo de datos de negocio.</w:t>
      </w:r>
    </w:p>
    <w:p w14:paraId="4C355B80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Respaldo lógico e identificación por código QR: </w:t>
      </w:r>
      <w:r>
        <w:t>fuera de alcance del proyecto.</w:t>
      </w:r>
    </w:p>
    <w:p w14:paraId="4052DD5C" w14:textId="77777777" w:rsidR="00A86428" w:rsidRDefault="00DE0607">
      <w:pPr>
        <w:pStyle w:val="heading10"/>
      </w:pPr>
      <w:r>
        <w:t>2. Criterios técnicos definidos</w:t>
      </w:r>
    </w:p>
    <w:p w14:paraId="6C5CB0C7" w14:textId="77777777" w:rsidR="00A86428" w:rsidRDefault="00DE0607">
      <w:pPr>
        <w:spacing w:after="120" w:line="276" w:lineRule="auto"/>
        <w:jc w:val="both"/>
      </w:pPr>
      <w:r>
        <w:t>Criterios técnicos de diseño. Su ejecución se comprueba mediante esquema, migraciones y pruebas en #9 y #75.</w:t>
      </w:r>
    </w:p>
    <w:tbl>
      <w:tblPr>
        <w:tblInd w:w="-7" w:type="dxa"/>
        <w:tblLook w:val="04A0" w:firstRow="1" w:lastRow="0" w:firstColumn="1" w:lastColumn="0" w:noHBand="0" w:noVBand="1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600"/>
        <w:gridCol w:w="6760"/>
      </w:tblGrid>
      <w:tr w:rsidR="00A86428" w14:paraId="57D8E8D5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  <w:vAlign w:val="center"/>
          </w:tcPr>
          <w:p w14:paraId="784CEF5B" w14:textId="77777777" w:rsidR="00A86428" w:rsidRDefault="00DE0607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Criterio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F3864"/>
            <w:vAlign w:val="center"/>
          </w:tcPr>
          <w:p w14:paraId="56799E80" w14:textId="77777777" w:rsidR="00A86428" w:rsidRDefault="00DE0607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Definición adoptada</w:t>
            </w:r>
          </w:p>
        </w:tc>
      </w:tr>
      <w:tr w:rsidR="00A86428" w14:paraId="34210E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EBB77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Motor de base de datos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F17751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MySQL InnoDB Cluster: tres nodos replicados, Router y único escritor. Prueba controlada de caída del primario en laboratorio.</w:t>
            </w:r>
          </w:p>
        </w:tc>
      </w:tr>
      <w:tr w:rsidR="00A86428" w14:paraId="4460D6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29812312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Identificadores (claves primarias)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63F5EB1A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BIGINT UNSIGNED AUTO_INCREMENT</w:t>
            </w:r>
            <w:r>
              <w:rPr>
                <w:sz w:val="18"/>
                <w:szCs w:val="18"/>
                <w:color w:val="202020"/>
              </w:rPr>
              <w:t xml:space="preserve"> en todas las tablas. Toda tabla posee clave primaria explícita (requisito de Group Replication).</w:t>
            </w:r>
          </w:p>
        </w:tc>
      </w:tr>
      <w:tr w:rsidR="00A86428" w14:paraId="01E24A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44862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Tipos de datos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E9BA1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 xml:space="preserve">Uso de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ENUM</w:t>
            </w:r>
            <w:r>
              <w:rPr>
                <w:sz w:val="18"/>
                <w:szCs w:val="18"/>
                <w:color w:val="202020"/>
              </w:rPr>
              <w:t xml:space="preserve"> para estados y categorías controladas;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DECIMAL</w:t>
            </w:r>
            <w:r>
              <w:rPr>
                <w:sz w:val="18"/>
                <w:szCs w:val="18"/>
                <w:color w:val="202020"/>
              </w:rPr>
              <w:t xml:space="preserve"> para magnitudes ambientales (temperatura, humedad, umbrales);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JSON</w:t>
            </w:r>
            <w:r>
              <w:rPr>
                <w:sz w:val="18"/>
                <w:szCs w:val="18"/>
                <w:color w:val="202020"/>
              </w:rPr>
              <w:t xml:space="preserve"> para contenido semiestructurado;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VARCHAR/TEXT</w:t>
            </w:r>
            <w:r>
              <w:rPr>
                <w:sz w:val="18"/>
                <w:szCs w:val="18"/>
                <w:color w:val="202020"/>
              </w:rPr>
              <w:t xml:space="preserve"> para texto.</w:t>
            </w:r>
          </w:p>
        </w:tc>
      </w:tr>
      <w:tr w:rsidR="00A86428" w14:paraId="10EE9B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4FC38787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Zonas horarias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36368B7A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 xml:space="preserve">Todas las fechas y horas en columnas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DATETIME</w:t>
            </w:r>
            <w:r>
              <w:rPr>
                <w:sz w:val="18"/>
                <w:szCs w:val="18"/>
                <w:color w:val="202020"/>
              </w:rPr>
              <w:t xml:space="preserve">, persistidas por la aplicación en UTC (RNF-INT-02). No se utiliza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TIMESTAMP</w:t>
            </w:r>
            <w:r>
              <w:rPr>
                <w:sz w:val="18"/>
                <w:szCs w:val="18"/>
                <w:color w:val="202020"/>
              </w:rPr>
              <w:t xml:space="preserve"> para evitar conversiones automáticas de zona horaria.</w:t>
            </w:r>
          </w:p>
        </w:tc>
      </w:tr>
      <w:tr w:rsidR="00A86428" w14:paraId="4B810C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B1C59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Convenciones de nomenclatura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42B7E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 xml:space="preserve">Nombres en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snake_case</w:t>
            </w:r>
            <w:r>
              <w:rPr>
                <w:sz w:val="18"/>
                <w:szCs w:val="18"/>
                <w:color w:val="202020"/>
              </w:rPr>
              <w:t xml:space="preserve">. Prefijos estandarizados: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fk_</w:t>
            </w:r>
            <w:r>
              <w:rPr>
                <w:sz w:val="18"/>
                <w:szCs w:val="18"/>
                <w:color w:val="202020"/>
              </w:rPr>
              <w:t xml:space="preserve"> para claves foráneas,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idx_</w:t>
            </w:r>
            <w:r>
              <w:rPr>
                <w:sz w:val="18"/>
                <w:szCs w:val="18"/>
                <w:color w:val="202020"/>
              </w:rPr>
              <w:t xml:space="preserve"> para índices y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uq_</w:t>
            </w:r>
            <w:r>
              <w:rPr>
                <w:sz w:val="18"/>
                <w:szCs w:val="18"/>
                <w:color w:val="202020"/>
              </w:rPr>
              <w:t xml:space="preserve"> para restricciones de unicidad.</w:t>
            </w:r>
          </w:p>
        </w:tc>
      </w:tr>
      <w:tr w:rsidR="00A86428" w14:paraId="454573B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1BE8CC48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Codificación de caracteres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shd w:val="clear" w:color="auto" w:fill="F7F9FC"/>
            <w:vAlign w:val="center"/>
          </w:tcPr>
          <w:p w14:paraId="017DBCD4" w14:textId="77777777" w:rsidR="00A86428" w:rsidRDefault="00DE0607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utf8mb4</w:t>
            </w:r>
            <w:r>
              <w:rPr>
                <w:sz w:val="18"/>
                <w:szCs w:val="18"/>
                <w:color w:val="202020"/>
              </w:rPr>
              <w:t xml:space="preserve"> con collation </w:t>
            </w: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utf8mb4_0900_ai_ci</w:t>
            </w:r>
            <w:r>
              <w:rPr>
                <w:sz w:val="18"/>
                <w:szCs w:val="18"/>
                <w:color w:val="202020"/>
              </w:rPr>
              <w:t xml:space="preserve"> en todas las tablas.</w:t>
            </w:r>
          </w:p>
        </w:tc>
      </w:tr>
    </w:tbl>
    <w:p w14:paraId="5DAB6C7B" w14:textId="77777777" w:rsidR="00A86428" w:rsidRDefault="00A86428">
      <w:pPr>
        <w:spacing w:after="120" w:line="276" w:lineRule="auto"/>
        <w:jc w:val="both"/>
      </w:pPr>
    </w:p>
    <w:p w14:paraId="1B57C582" w14:textId="77777777" w:rsidR="00A86428" w:rsidRDefault="00DE0607">
      <w:pPr>
        <w:spacing w:after="120" w:line="276" w:lineRule="auto"/>
        <w:jc w:val="both"/>
      </w:pPr>
      <w:r>
        <w:rPr>
          <w:i/>
          <w:iCs/>
        </w:rPr>
        <w:t>La dedicación confirmada es de 15 horas semanales por integrante: 3 personas × 15 h × 18 semanas = 810 horas-persona (270 por persona). El Kanban agrupa 36 tareas y 720 horas estimadas, con 90 horas de reserva dentro del mismo semestre; no son horas ejecutadas.</w:t>
      </w:r>
    </w:p>
    <w:p w14:paraId="2FA99468" w14:textId="77777777" w:rsidR="00A86428" w:rsidRDefault="00DE0607">
      <w:pPr>
        <w:pStyle w:val="heading10"/>
      </w:pPr>
      <w:r>
        <w:t>3. Relaciones entre entidades</w:t>
      </w:r>
    </w:p>
    <w:p w14:paraId="0C6B3E5C" w14:textId="77777777" w:rsidR="00A86428" w:rsidRDefault="00DE0607">
      <w:pPr>
        <w:spacing w:after="120" w:line="276" w:lineRule="auto"/>
        <w:jc w:val="both"/>
      </w:pPr>
      <w:r>
        <w:t>El anexo muestra entidades principales. El diccionario de clases de esta revisión identifica tablas objetivo; el DDL histórico debe migrarse, no usarse como prueba de coherencia actual.</w:t>
      </w:r>
    </w:p>
    <w:p w14:paraId="32009EC0" w14:textId="77777777" w:rsidR="00A86428" w:rsidRDefault="00DE0607">
      <w:pPr>
        <w:spacing w:after="120" w:line="276" w:lineRule="auto"/>
        <w:jc w:val="both"/>
      </w:pPr>
      <w:r>
        <w:t>De manera general, el modelo contempla las siguientes relaciones principales:</w:t>
      </w:r>
    </w:p>
    <w:p w14:paraId="0C81DF22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Activos clasificados por tipo, ubicación y estado.</w:t>
      </w:r>
    </w:p>
    <w:p w14:paraId="6753ACA1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Entre sensores y las mediciones ambientales que capturan.</w:t>
      </w:r>
    </w:p>
    <w:p w14:paraId="575060DB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Entre solicitudes de intervención y los activos involucrados.</w:t>
      </w:r>
    </w:p>
    <w:p w14:paraId="7890E4B7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Puntos de acceso y eventos con identidad externa; sin permisos físicos en SICMA.</w:t>
      </w:r>
    </w:p>
    <w:p w14:paraId="3D94558D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Alertas de origen ambiental o Zabbix y evidencia de notificación.</w:t>
      </w:r>
    </w:p>
    <w:p w14:paraId="2E572927" w14:textId="77777777" w:rsidR="00A86428" w:rsidRDefault="00DE0607">
      <w:pPr>
        <w:pStyle w:val="heading10"/>
      </w:pPr>
      <w:r>
        <w:t>4. Diccionario de datos</w:t>
      </w:r>
    </w:p>
    <w:p w14:paraId="2B7D1613" w14:textId="77777777" w:rsidR="00A86428" w:rsidRDefault="00DE0607">
      <w:pPr>
        <w:spacing w:after="120" w:line="276" w:lineRule="auto"/>
        <w:jc w:val="both"/>
      </w:pPr>
      <w:r>
        <w:t>El diccionario de datos —con el detalle de tablas, campos, tipos, claves y restricciones— se elabora en conjunto con el diseño definitivo del modelo, siguiendo los criterios técnicos de la Sección 2. Las tablas se agrupan en las siguientes categorías:</w:t>
      </w:r>
    </w:p>
    <w:p w14:paraId="432F7AEC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Usuarios.</w:t>
      </w:r>
    </w:p>
    <w:p w14:paraId="0B75904D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Ubicaciones y activos.</w:t>
      </w:r>
    </w:p>
    <w:p w14:paraId="725CFD6E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Sensores y mediciones ambientales.</w:t>
      </w:r>
    </w:p>
    <w:p w14:paraId="188620BC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Umbrales ambientales, alertas y notificaciones.</w:t>
      </w:r>
    </w:p>
    <w:p w14:paraId="419665B5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Eventos de acceso y puntos de origen HID.</w:t>
      </w:r>
    </w:p>
    <w:p w14:paraId="347244D5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Intervenciones y bitácoras asociadas.</w:t>
      </w:r>
    </w:p>
    <w:p w14:paraId="45262A45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Integraciones con sistemas externos.</w:t>
      </w:r>
    </w:p>
    <w:p w14:paraId="1E93085A" w14:textId="77777777" w:rsidR="00A86428" w:rsidRDefault="00DE0607">
      <w:pPr>
        <w:spacing w:after="120" w:line="276" w:lineRule="auto"/>
        <w:jc w:val="both"/>
      </w:pPr>
      <w:r>
        <w:t>Definir el esquema físico y las migraciones según el diccionario vigente, conservando trazabilidad. El script sicma_schema.sql anterior es un antecedente técnico y no la línea base actual.</w:t>
      </w:r>
    </w:p>
    <w:p w14:paraId="2DF372D6" w14:textId="77777777" w:rsidR="00A86428" w:rsidRDefault="00DE0607">
      <w:pPr>
        <w:pStyle w:val="heading10"/>
      </w:pPr>
      <w:r>
        <w:t>5. Integridad y estados</w:t>
      </w:r>
    </w:p>
    <w:p w14:paraId="29B759F1" w14:textId="77777777" w:rsidR="00A86428" w:rsidRDefault="4A4461CE">
      <w:pPr>
        <w:spacing w:after="120" w:line="276" w:lineRule="auto"/>
        <w:jc w:val="both"/>
      </w:pPr>
      <w:r>
        <w:t>Se aplican principios de integridad de datos: validación de rangos, control de estados y consistencia referencial entre tablas relacionadas. La integridad referencial se garantiza mediante claves foráneas con la siguiente política:</w:t>
      </w:r>
    </w:p>
    <w:p w14:paraId="438B6147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ON DELETE RESTRICT</w:t>
      </w:r>
      <w:r>
        <w:t xml:space="preserve"> por defecto, para impedir eliminaciones que dejen registros huérfanos.</w:t>
      </w:r>
    </w:p>
    <w:p w14:paraId="58E29929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 usar cascadas que eliminen historial. Las eliminaciones de datos de prueba requieren una operación controlada fuera de los flujos normales.</w:t>
      </w:r>
    </w:p>
    <w:p w14:paraId="1B5951DC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ON DELETE SET NULL</w:t>
      </w:r>
      <w:r>
        <w:t xml:space="preserve"> en relaciones opcionales que pueden desvincularse conservando el registro histórico.</w:t>
      </w:r>
    </w:p>
    <w:p w14:paraId="747484FF" w14:textId="77777777" w:rsidR="00A86428" w:rsidRDefault="4A4461CE">
      <w:pPr>
        <w:spacing w:after="120" w:line="276" w:lineRule="auto"/>
        <w:jc w:val="both"/>
      </w:pPr>
      <w:r>
        <w:t>Estados controlados para activos e intervenciones; transiciones autorizadas en servidor y registradas en historial.</w:t>
      </w:r>
    </w:p>
    <w:p w14:paraId="03BE9933" w14:textId="77777777" w:rsidR="00A86428" w:rsidRDefault="4A4461CE">
      <w:pPr>
        <w:pStyle w:val="heading10"/>
      </w:pPr>
      <w:r>
        <w:t>6. Concurrencia e integraciones</w:t>
      </w:r>
    </w:p>
    <w:p w14:paraId="55D4B419" w14:textId="77777777" w:rsidR="00A86428" w:rsidRDefault="4A4461CE">
      <w:pPr>
        <w:spacing w:after="120" w:line="276" w:lineRule="auto"/>
        <w:jc w:val="both"/>
      </w:pPr>
      <w:r>
        <w:t>Se controla la repetición y concurrencia de mensajes y cambios de estado:</w:t>
      </w:r>
    </w:p>
    <w:p w14:paraId="76EBB02A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t>Claves únicas para respuestas Forms, eventos de calendario, lecturas y eventos HID/Zabbix. Las operaciones repetidas no crean duplicados.</w:t>
      </w:r>
    </w:p>
    <w:p w14:paraId="07421A92" w14:textId="77777777" w:rsidR="00A86428" w:rsidRDefault="4A4461CE">
      <w:pPr>
        <w:pStyle w:val="ListParagraph"/>
        <w:numPr>
          <w:ilvl w:val="0"/>
          <w:numId w:val="3"/>
        </w:numPr>
        <w:spacing w:after="60"/>
      </w:pPr>
      <w:r>
        <w:t>Decisiones y ejecución comprueban el estado vigente. El calendario compartido pertenece a Power Automate; no se modela ReservaRecurso ni un motor de solapamientos.</w:t>
      </w:r>
    </w:p>
    <w:p w14:paraId="1D5C71D0" w14:textId="77777777" w:rsidR="00A86428" w:rsidRDefault="4A4461CE">
      <w:pPr>
        <w:pStyle w:val="heading10"/>
      </w:pPr>
      <w:r>
        <w:t>7. Seguridad, consultas y validación</w:t>
      </w:r>
    </w:p>
    <w:p w14:paraId="30F06A1E" w14:textId="77777777" w:rsidR="00A86428" w:rsidRDefault="00DE0607">
      <w:pPr>
        <w:spacing w:after="120" w:line="276" w:lineRule="auto"/>
        <w:jc w:val="both"/>
      </w:pPr>
      <w:r>
        <w:t>Se aplican lineamientos de seguridad alineados con los requerimientos:</w:t>
      </w:r>
    </w:p>
    <w:p w14:paraId="169CF276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t>Uso de cuentas de servicio diferenciadas y restricción de accesos según rol.</w:t>
      </w:r>
    </w:p>
    <w:p w14:paraId="4266320A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Protección de información sensible: </w:t>
      </w:r>
      <w:r>
        <w:t>las credenciales y claves de dispositivo se almacenan como hash o como referencia a un secreto externo, nunca en texto claro.</w:t>
      </w:r>
    </w:p>
    <w:p w14:paraId="65B9F2FE" w14:textId="77777777" w:rsidR="00A86428" w:rsidRDefault="00DE060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Mediciones, eventos e historial son de solo inserción en los flujos de negocio. Aplicar permisos específicos y controles de servicio para impedir UPDATE/DELETE no autorizados.</w:t>
      </w:r>
    </w:p>
    <w:p w14:paraId="01D2E551" w14:textId="77777777" w:rsidR="00A86428" w:rsidRDefault="00DE0607">
      <w:pPr>
        <w:spacing w:after="120" w:line="276" w:lineRule="auto"/>
        <w:jc w:val="both"/>
      </w:pPr>
      <w:r>
        <w:t>Power BI consume datos con cuenta de lectura. Se prueban restricciones, actualización y correspondencia con la fuente.</w:t>
      </w:r>
    </w:p>
    <w:p w14:paraId="4E1F9A16" w14:textId="77777777" w:rsidR="00A86428" w:rsidRDefault="00DE0607">
      <w:pPr>
        <w:pStyle w:val="heading10"/>
      </w:pPr>
      <w:r>
        <w:t>Referencias</w:t>
      </w:r>
    </w:p>
    <w:p w14:paraId="7F1B89FF" w14:textId="77777777" w:rsidR="00A86428" w:rsidRDefault="00DE0607">
      <w:pPr>
        <w:spacing w:after="120" w:line="276" w:lineRule="auto"/>
        <w:jc w:val="both"/>
      </w:pPr>
      <w:r>
        <w:t>Equipo SICMA. (2026). Instrucciones, RHU, casos y clases; revisión de alineación del 5 de octubre de 2026.</w:t>
      </w:r>
    </w:p>
    <w:p>
      <w:pPr>
        <w:sectPr w:rsidR="00A86428">
          <w:footerReference w:type="default" r:id="rIdFtr"/>
          <w:footerReference w:type="first" r:id="rIdFtrFirst"/>
          <w:headerReference w:type="default" r:id="rIdHdr"/>
          <w:headerReference w:type="first" r:id="rIdHdrFirst"/>
          <w:pgSz w:w="11906" w:h="16838"/>
          <w:pgMar w:top="1134" w:right="1417" w:bottom="1134" w:left="1417" w:header="567" w:footer="567" w:gutter="0"/>
          <w:cols w:space="720"/>
          <w:docGrid w:linePitch="360"/>
          <w:titlePg/>
        </w:sectPr>
      </w:pPr>
    </w:p>
    <w:p>
      <w:pPr>
        <w:pStyle w:val="heading10"/>
        <w:keepNext/>
        <w:keepLines/>
        <w:spacing w:before="60" w:after="80"/>
      </w:pPr>
      <w:r>
        <w:rPr/>
        <w:t xml:space="preserve">Anexo A. Diagrama entidad-relación</w:t>
      </w:r>
    </w:p>
    <w:p>
      <w:pPr>
        <w:keepNext/>
        <w:keepLines/>
        <w:spacing w:before="60" w:after="80"/>
      </w:pPr>
      <w:r>
        <w:rPr>
          <w:color w:val="202020"/>
          <w:sz w:val="21"/>
          <w:szCs w:val="21"/>
        </w:rPr>
        <w:t>Modelo objetivo de 17 entidades. El diagrama resume relaciones; atributos y tablas figuran en el diccionario de clases. No representa un esquema ya desplegado.</w:t>
      </w:r>
    </w:p>
    <w:p xmlns:a="http://schemas.openxmlformats.org/drawingml/2006/main" xmlns:pic="http://schemas.openxmlformats.org/drawingml/2006/picture">
      <w:pPr>
        <w:keepNext/>
        <w:jc w:val="center"/>
        <w:spacing w:before="60" w:after="60"/>
      </w:pPr>
      <w:r>
        <w:drawing>
          <wp:inline distT="0" distB="0" distL="0" distR="0">
            <wp:extent cx="5852160" cy="4242816"/>
            <wp:effectExtent l="0" t="0" r="0" b="0"/>
            <wp:docPr id="950" name="DiagramaER" descr="Diagrama entidad-relacion de SIC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mer.jpg"/>
                    <pic:cNvPicPr/>
                  </pic:nvPicPr>
                  <pic:blipFill>
                    <a:blip r:embed="rIdDiagramaER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80"/>
      </w:pPr>
      <w:r>
        <w:rPr>
          <w:i/>
          <w:color w:val="595959"/>
          <w:sz w:val="19"/>
          <w:szCs w:val="19"/>
        </w:rPr>
        <w:t xml:space="preserve">Figura 1. Diagrama entidad-relación de SICMA. Elaboración del equipo SICMA.</w:t>
      </w:r>
    </w:p>
    <w:sectPr w:rsidR="00A86428">
      <w:pgSz w:w="16838" w:h="11906" w:orient="landscape"/>
      <w:footerReference w:type="default" r:id="rIdFtr"/>
      <w:footerReference w:type="first" r:id="rIdFtrFirst"/>
      <w:headerReference w:type="default" r:id="rIdHdr"/>
      <w:headerReference w:type="first" r:id="rIdHdrFirst"/>
      <w:pgMar w:top="1134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1B538" w14:textId="77777777" w:rsidR="00CC4F4F" w:rsidRDefault="00CC4F4F">
      <w:r>
        <w:separator/>
      </w:r>
    </w:p>
  </w:endnote>
  <w:endnote w:type="continuationSeparator" w:id="0">
    <w:p w14:paraId="559ED3FB" w14:textId="77777777" w:rsidR="00CC4F4F" w:rsidRDefault="00CC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455F" w14:textId="77777777" w:rsidR="00CC4F4F" w:rsidRDefault="00CC4F4F">
      <w:r>
        <w:separator/>
      </w:r>
    </w:p>
  </w:footnote>
  <w:footnote w:type="continuationSeparator" w:id="0">
    <w:p w14:paraId="60C947B4" w14:textId="77777777" w:rsidR="00CC4F4F" w:rsidRDefault="00CC4F4F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Modelo de Base de Datos · Duoc UC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4D4" w14:textId="3F0D040D" w:rsidR="00E90C7B" w:rsidRDefault="00E90C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56B96"/>
    <w:multiLevelType w:val="hybridMultilevel"/>
    <w:tmpl w:val="FFFFFFFF"/>
    <w:lvl w:ilvl="0" w:tplc="3132A968">
      <w:start w:val="1"/>
      <w:numFmt w:val="decimal"/>
      <w:lvlText w:val="%1."/>
      <w:lvlJc w:val="left"/>
      <w:pPr>
        <w:ind w:left="720" w:hanging="360"/>
      </w:pPr>
    </w:lvl>
    <w:lvl w:ilvl="1" w:tplc="86D87D44">
      <w:numFmt w:val="decimal"/>
      <w:lvlText w:val=""/>
      <w:lvlJc w:val="left"/>
    </w:lvl>
    <w:lvl w:ilvl="2" w:tplc="1FAA1296">
      <w:numFmt w:val="decimal"/>
      <w:lvlText w:val=""/>
      <w:lvlJc w:val="left"/>
    </w:lvl>
    <w:lvl w:ilvl="3" w:tplc="5948745E">
      <w:numFmt w:val="decimal"/>
      <w:lvlText w:val=""/>
      <w:lvlJc w:val="left"/>
    </w:lvl>
    <w:lvl w:ilvl="4" w:tplc="9C9EEBA8">
      <w:numFmt w:val="decimal"/>
      <w:lvlText w:val=""/>
      <w:lvlJc w:val="left"/>
    </w:lvl>
    <w:lvl w:ilvl="5" w:tplc="4768E570">
      <w:numFmt w:val="decimal"/>
      <w:lvlText w:val=""/>
      <w:lvlJc w:val="left"/>
    </w:lvl>
    <w:lvl w:ilvl="6" w:tplc="79F073C0">
      <w:numFmt w:val="decimal"/>
      <w:lvlText w:val=""/>
      <w:lvlJc w:val="left"/>
    </w:lvl>
    <w:lvl w:ilvl="7" w:tplc="0E5E859A">
      <w:numFmt w:val="decimal"/>
      <w:lvlText w:val=""/>
      <w:lvlJc w:val="left"/>
    </w:lvl>
    <w:lvl w:ilvl="8" w:tplc="0BF6215A">
      <w:numFmt w:val="decimal"/>
      <w:lvlText w:val=""/>
      <w:lvlJc w:val="left"/>
    </w:lvl>
  </w:abstractNum>
  <w:abstractNum w:abstractNumId="1" w15:restartNumberingAfterBreak="0">
    <w:nsid w:val="5C74F20A"/>
    <w:multiLevelType w:val="hybridMultilevel"/>
    <w:tmpl w:val="FFFFFFFF"/>
    <w:lvl w:ilvl="0" w:tplc="E884C3FC">
      <w:start w:val="1"/>
      <w:numFmt w:val="bullet"/>
      <w:lvlText w:val="●"/>
      <w:lvlJc w:val="left"/>
      <w:pPr>
        <w:ind w:left="720" w:hanging="360"/>
      </w:pPr>
    </w:lvl>
    <w:lvl w:ilvl="1" w:tplc="21BA5386">
      <w:start w:val="1"/>
      <w:numFmt w:val="bullet"/>
      <w:lvlText w:val="○"/>
      <w:lvlJc w:val="left"/>
      <w:pPr>
        <w:ind w:left="1440" w:hanging="360"/>
      </w:pPr>
    </w:lvl>
    <w:lvl w:ilvl="2" w:tplc="D38E7554">
      <w:start w:val="1"/>
      <w:numFmt w:val="bullet"/>
      <w:lvlText w:val="■"/>
      <w:lvlJc w:val="left"/>
      <w:pPr>
        <w:ind w:left="2160" w:hanging="360"/>
      </w:pPr>
    </w:lvl>
    <w:lvl w:ilvl="3" w:tplc="AB00D4B6">
      <w:start w:val="1"/>
      <w:numFmt w:val="bullet"/>
      <w:lvlText w:val="●"/>
      <w:lvlJc w:val="left"/>
      <w:pPr>
        <w:ind w:left="2880" w:hanging="360"/>
      </w:pPr>
    </w:lvl>
    <w:lvl w:ilvl="4" w:tplc="C6CE6240">
      <w:start w:val="1"/>
      <w:numFmt w:val="bullet"/>
      <w:lvlText w:val="○"/>
      <w:lvlJc w:val="left"/>
      <w:pPr>
        <w:ind w:left="3600" w:hanging="360"/>
      </w:pPr>
    </w:lvl>
    <w:lvl w:ilvl="5" w:tplc="A8A2EE8A">
      <w:start w:val="1"/>
      <w:numFmt w:val="bullet"/>
      <w:lvlText w:val="■"/>
      <w:lvlJc w:val="left"/>
      <w:pPr>
        <w:ind w:left="4320" w:hanging="360"/>
      </w:pPr>
    </w:lvl>
    <w:lvl w:ilvl="6" w:tplc="BF8C112A">
      <w:start w:val="1"/>
      <w:numFmt w:val="bullet"/>
      <w:lvlText w:val="●"/>
      <w:lvlJc w:val="left"/>
      <w:pPr>
        <w:ind w:left="5040" w:hanging="360"/>
      </w:pPr>
    </w:lvl>
    <w:lvl w:ilvl="7" w:tplc="C8642554">
      <w:start w:val="1"/>
      <w:numFmt w:val="bullet"/>
      <w:lvlText w:val="●"/>
      <w:lvlJc w:val="left"/>
      <w:pPr>
        <w:ind w:left="5760" w:hanging="360"/>
      </w:pPr>
    </w:lvl>
    <w:lvl w:ilvl="8" w:tplc="539A9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E23539"/>
    <w:multiLevelType w:val="hybridMultilevel"/>
    <w:tmpl w:val="FFFFFFFF"/>
    <w:lvl w:ilvl="0" w:tplc="5442CF82">
      <w:start w:val="1"/>
      <w:numFmt w:val="bullet"/>
      <w:lvlText w:val="•"/>
      <w:lvlJc w:val="left"/>
      <w:pPr>
        <w:ind w:left="720" w:hanging="360"/>
      </w:pPr>
    </w:lvl>
    <w:lvl w:ilvl="1" w:tplc="593EF144">
      <w:numFmt w:val="decimal"/>
      <w:lvlText w:val=""/>
      <w:lvlJc w:val="left"/>
    </w:lvl>
    <w:lvl w:ilvl="2" w:tplc="816CAA54">
      <w:numFmt w:val="decimal"/>
      <w:lvlText w:val=""/>
      <w:lvlJc w:val="left"/>
    </w:lvl>
    <w:lvl w:ilvl="3" w:tplc="F0F47764">
      <w:numFmt w:val="decimal"/>
      <w:lvlText w:val=""/>
      <w:lvlJc w:val="left"/>
    </w:lvl>
    <w:lvl w:ilvl="4" w:tplc="CC9C1336">
      <w:numFmt w:val="decimal"/>
      <w:lvlText w:val=""/>
      <w:lvlJc w:val="left"/>
    </w:lvl>
    <w:lvl w:ilvl="5" w:tplc="792E7098">
      <w:numFmt w:val="decimal"/>
      <w:lvlText w:val=""/>
      <w:lvlJc w:val="left"/>
    </w:lvl>
    <w:lvl w:ilvl="6" w:tplc="D6A4086E">
      <w:numFmt w:val="decimal"/>
      <w:lvlText w:val=""/>
      <w:lvlJc w:val="left"/>
    </w:lvl>
    <w:lvl w:ilvl="7" w:tplc="CE041234">
      <w:numFmt w:val="decimal"/>
      <w:lvlText w:val=""/>
      <w:lvlJc w:val="left"/>
    </w:lvl>
    <w:lvl w:ilvl="8" w:tplc="C85AA2F4">
      <w:numFmt w:val="decimal"/>
      <w:lvlText w:val=""/>
      <w:lvlJc w:val="left"/>
    </w:lvl>
  </w:abstractNum>
  <w:num w:numId="1" w16cid:durableId="1887906772">
    <w:abstractNumId w:val="1"/>
    <w:lvlOverride w:ilvl="0">
      <w:startOverride w:val="1"/>
    </w:lvlOverride>
  </w:num>
  <w:num w:numId="2" w16cid:durableId="772434174">
    <w:abstractNumId w:val="0"/>
    <w:lvlOverride w:ilvl="0">
      <w:startOverride w:val="1"/>
    </w:lvlOverride>
  </w:num>
  <w:num w:numId="3" w16cid:durableId="1401244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4461CE"/>
    <w:rsid w:val="0079445E"/>
    <w:rsid w:val="00A86428"/>
    <w:rsid w:val="00B07191"/>
    <w:rsid w:val="00CC4F4F"/>
    <w:rsid w:val="00DE0607"/>
    <w:rsid w:val="00E90C7B"/>
    <w:rsid w:val="143186BD"/>
    <w:rsid w:val="4A44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DC142"/>
  <w15:docId w15:val="{BE2A15FD-D424-4C4B-A0A3-D2075A5C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Heading1">
    <w:name w:val="heading 1"/>
    <w:uiPriority w:val="9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90C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Relationship Id="rIdDiagramaER" Type="http://schemas.openxmlformats.org/officeDocument/2006/relationships/image" Target="media/diagrama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- Modelo de base de datos v1.1</dc:title>
  <dc:creator>Alvaro Antonio Gonzalez Briones</dc:creator>
  <cp:lastModifiedBy>Alvaro Antonio Gonzalez Briones</cp:lastModifiedBy>
  <cp:revision>3</cp:revision>
  <dcterms:created xsi:type="dcterms:W3CDTF">2026-09-12T01:22:00Z</dcterms:created>
  <dcterms:modified xsi:type="dcterms:W3CDTF">2026-09-12T01:22:00Z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47dbd-8090-45a6-8618-d1bf833905a1_Enabled">
    <vt:lpwstr>true</vt:lpwstr>
  </property>
  <property fmtid="{D5CDD505-2E9C-101B-9397-08002B2CF9AE}" pid="3" name="MSIP_Label_61047dbd-8090-45a6-8618-d1bf833905a1_SetDate">
    <vt:lpwstr>2026-09-12T01:22:41Z</vt:lpwstr>
  </property>
  <property fmtid="{D5CDD505-2E9C-101B-9397-08002B2CF9AE}" pid="4" name="MSIP_Label_61047dbd-8090-45a6-8618-d1bf833905a1_Method">
    <vt:lpwstr>Privileged</vt:lpwstr>
  </property>
  <property fmtid="{D5CDD505-2E9C-101B-9397-08002B2CF9AE}" pid="5" name="MSIP_Label_61047dbd-8090-45a6-8618-d1bf833905a1_Name">
    <vt:lpwstr>61047dbd-8090-45a6-8618-d1bf833905a1</vt:lpwstr>
  </property>
  <property fmtid="{D5CDD505-2E9C-101B-9397-08002B2CF9AE}" pid="6" name="MSIP_Label_61047dbd-8090-45a6-8618-d1bf833905a1_SiteId">
    <vt:lpwstr>85599d7a-6793-4bdb-a7f9-348037d4e472</vt:lpwstr>
  </property>
  <property fmtid="{D5CDD505-2E9C-101B-9397-08002B2CF9AE}" pid="7" name="MSIP_Label_61047dbd-8090-45a6-8618-d1bf833905a1_ActionId">
    <vt:lpwstr>f6531635-80b8-4632-b1f8-75ce41f11958</vt:lpwstr>
  </property>
  <property fmtid="{D5CDD505-2E9C-101B-9397-08002B2CF9AE}" pid="8" name="MSIP_Label_61047dbd-8090-45a6-8618-d1bf833905a1_ContentBits">
    <vt:lpwstr>0</vt:lpwstr>
  </property>
  <property fmtid="{D5CDD505-2E9C-101B-9397-08002B2CF9AE}" pid="9" name="MSIP_Label_61047dbd-8090-45a6-8618-d1bf833905a1_Tag">
    <vt:lpwstr>10, 0, 1, 2</vt:lpwstr>
  </property>
</Properties>
</file>