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0" distT="0" distL="0" distR="0">
            <wp:extent cx="2655570" cy="858520"/>
            <wp:effectExtent b="0" l="0" r="0" t="0"/>
            <wp:docPr descr="SummIT Ciberseguridad 2022 – Duoc UC" id="5" name="image1.png"/>
            <a:graphic>
              <a:graphicData uri="http://schemas.openxmlformats.org/drawingml/2006/picture">
                <pic:pic>
                  <pic:nvPicPr>
                    <pic:cNvPr descr="SummIT Ciberseguridad 2022 – Duoc UC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55570" cy="8585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64"/>
          <w:szCs w:val="64"/>
          <w:rtl w:val="0"/>
        </w:rPr>
        <w:t xml:space="preserve">SICMA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jc w:val="center"/>
        <w:rPr/>
      </w:pPr>
      <w:r w:rsidDel="00000000" w:rsidR="00000000" w:rsidRPr="00000000">
        <w:rPr>
          <w:color w:val="595959"/>
          <w:sz w:val="24"/>
          <w:szCs w:val="24"/>
          <w:rtl w:val="0"/>
        </w:rPr>
        <w:t xml:space="preserve">Sistema Integrado de Control y Monitoreo de Activos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bCs w:val="1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16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Alvaro Gonzales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16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Claudio Varas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160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Fidel Rodriguez</w:t>
      </w:r>
    </w:p>
    <w:p w:rsidR="00000000" w:rsidDel="00000000" w:rsidP="00000000" w:rsidRDefault="00000000" w:rsidRPr="00000000" w14:paraId="0000001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Sección:</w:t>
      </w:r>
      <w:r w:rsidDel="00000000" w:rsidR="00000000" w:rsidRPr="00000000">
        <w:rPr>
          <w:rtl w:val="0"/>
        </w:rPr>
        <w:t xml:space="preserve"> 001V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Docente:</w:t>
      </w:r>
      <w:r w:rsidDel="00000000" w:rsidR="00000000" w:rsidRPr="00000000">
        <w:rPr>
          <w:rtl w:val="0"/>
        </w:rPr>
        <w:t xml:space="preserve"> Luis Bravo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Sede/Campus:</w:t>
      </w:r>
      <w:r w:rsidDel="00000000" w:rsidR="00000000" w:rsidRPr="00000000">
        <w:rPr>
          <w:rtl w:val="0"/>
        </w:rPr>
        <w:t xml:space="preserve"> Plaza Oeste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Fecha de entrega:</w:t>
      </w:r>
      <w:r w:rsidDel="00000000" w:rsidR="00000000" w:rsidRPr="00000000">
        <w:rPr>
          <w:rtl w:val="0"/>
        </w:rPr>
        <w:t xml:space="preserve"> octubre 2026    </w:t>
      </w:r>
    </w:p>
    <w:p w:rsidR="00000000" w:rsidDel="00000000" w:rsidP="00000000" w:rsidRDefault="00000000" w:rsidRPr="00000000" w14:paraId="00000017">
      <w:pPr>
        <w:pStyle w:val="Heading1"/>
        <w:rPr/>
      </w:pPr>
      <w:r w:rsidDel="00000000" w:rsidR="00000000" w:rsidRPr="00000000">
        <w:rPr>
          <w:rtl w:val="0"/>
        </w:rPr>
        <w:t xml:space="preserve">Índice</w:t>
      </w:r>
    </w:p>
    <w:sdt>
      <w:sdtPr>
        <w:id w:val="52581243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fldChar w:fldCharType="begin"/>
          </w:r>
          <w:r>
            <w:instrText> TOC \o "1-1" \h \z \u </w:instrText>
          </w:r>
          <w:r>
            <w:fldChar w:fldCharType="separate"/>
          </w:r>
          <w:r>
            <w:rPr>
              <w:b w:val="0"/>
              <w:sz w:val="20"/>
            </w:rPr>
            <w:t>Control del documento</w:t>
            <w:tab/>
            <w:t>3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1. Introducción</w:t>
            <w:tab/>
            <w:t>4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2. Actores y sistemas externos</w:t>
            <w:tab/>
            <w:t>5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3. Requisitos funcionales</w:t>
            <w:tab/>
            <w:t>5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4. Interfaces externas</w:t>
            <w:tab/>
            <w:t>9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5. Requisitos de datos</w:t>
            <w:tab/>
            <w:t>10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6. Reglas de negocio</w:t>
            <w:tab/>
            <w:t>11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7. Requisitos no funcionales</w:t>
            <w:tab/>
            <w:t>11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8. Matriz de permisos</w:t>
            <w:tab/>
            <w:t>12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9. Criterios globales de aceptación</w:t>
            <w:tab/>
            <w:t>12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10. Trazabilidad con los objetivos</w:t>
            <w:tab/>
            <w:t>13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11. Glosario</w:t>
            <w:tab/>
            <w:t>13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12. Aprobación de la línea base</w:t>
            <w:tab/>
            <w:t>13</w:t>
          </w:r>
        </w:p>
        <w:p w:rsidR="00000000" w:rsidDel="00000000" w:rsidP="00000000" w:rsidRDefault="00000000" w:rsidRPr="00000000" w14:paraId="00000018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406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13. Referencias</w:t>
            <w:tab/>
            <w:t>15</w:t>
          </w:r>
          <w:r>
            <w:fldChar w:fldCharType="end"/>
          </w:r>
        </w:p>
      </w:sdtContent>
    </w:sdt>
    <w:p w:rsidR="00000000" w:rsidDel="00000000" w:rsidP="00000000" w:rsidRDefault="00000000" w:rsidRPr="00000000" w14:paraId="0000003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Control del documento</w:t>
      </w:r>
    </w:p>
    <w:p w:rsidR="00000000" w:rsidDel="00000000" w:rsidP="00000000" w:rsidRDefault="00000000" w:rsidRPr="00000000" w14:paraId="0000003A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Identificación del documento</w:t>
      </w:r>
      <w:r w:rsidDel="00000000" w:rsidR="00000000" w:rsidRPr="00000000">
        <w:rPr>
          <w:rtl w:val="0"/>
        </w:rPr>
      </w:r>
    </w:p>
    <w:tbl>
      <w:tblPr>
        <w:tblStyle w:val="Table1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211"/>
        <w:gridCol w:w="7185"/>
        <w:tblGridChange w:id="0">
          <w:tblGrid>
            <w:gridCol w:w="2211"/>
            <w:gridCol w:w="7185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3C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3D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Capstone APT — Fase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40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Ingeniería Informática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Plaza Oeste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45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Bravo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Álvaro Antonio González Briones · Claudio Alejandro Varas Toro · Fidel Argenis Rodríguez Prieto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48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49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Datacenter simulado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5 de octubre de 2026</w:t>
            </w:r>
          </w:p>
        </w:tc>
      </w:tr>
      <w:tr>
        <w:trPr>
          <w:cantSplit w:val="0"/>
          <w:tblHeader w:val="0"/>
        </w:trPr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4C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4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Revisión de alineación de alcance y capacidad; pendiente de revisión conjunta</w:t>
            </w:r>
          </w:p>
        </w:tc>
      </w:tr>
    </w:tbl>
    <w:p w:rsidR="00000000" w:rsidDel="00000000" w:rsidP="00000000" w:rsidRDefault="00000000" w:rsidRPr="00000000" w14:paraId="0000004E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Historial de versiones</w:t>
      </w:r>
      <w:r w:rsidDel="00000000" w:rsidR="00000000" w:rsidRPr="00000000">
        <w:rPr>
          <w:rtl w:val="0"/>
        </w:rPr>
      </w:r>
    </w:p>
    <w:tbl>
      <w:tblPr>
        <w:tblStyle w:val="Table2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04"/>
        <w:gridCol w:w="1206"/>
        <w:gridCol w:w="5879"/>
        <w:gridCol w:w="1407"/>
        <w:tblGridChange w:id="0">
          <w:tblGrid>
            <w:gridCol w:w="904"/>
            <w:gridCol w:w="1206"/>
            <w:gridCol w:w="5879"/>
            <w:gridCol w:w="140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51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5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5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54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5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05-09-2026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Primera especificación integral del alcance funcional y de calidad de SICMA.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SICMA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59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5A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11-09-2026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5B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Actualización de formato y referencias; precisión de tecnologías, intervalo IoT y permisos; alcance móvil pendiente de validación.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05C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SICMA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11-09-2026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retira la identificación de activos por código QR (RF-ACT-07, RF-MOV-02). Se retiran auditoría general, configuración de parámetros y respaldo lógico (RF-AUD-01 a RF-AUD-04): dependen de la política propia de cada administrador de datacenter; se conserva RF-AUD-05 (salud). Se incorpora Microsoft Forms + Power Automate como canal de agendamiento y notificación de intervenciones. Se confirma el alcance de la aplicación móvil como exclusivamente de consulta, cerrando el punto pendiente frente al documento 1.5.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SICMA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30-09-2026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precisan sesiones, fechas e idempotencia; aprobación y reserva atómicas, permisos y canales Forms/SMTP. Se aclaran configuración y trazabilidad. Pendiente de aprobación.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SICMA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904"/>
          </w:tcPr>
          <w:p>
            <w:r>
              <w:t>1.3 · revisión de alineación</w:t>
            </w:r>
          </w:p>
        </w:tc>
        <w:tc>
          <w:tcPr>
            <w:tcW w:type="dxa" w:w="1206"/>
          </w:tcPr>
          <w:p>
            <w:r>
              <w:t>05-10-2026</w:t>
            </w:r>
          </w:p>
        </w:tc>
        <w:tc>
          <w:tcPr>
            <w:tcW w:type="dxa" w:w="5879"/>
          </w:tcPr>
          <w:p>
            <w:r>
              <w:t>Se sustituyen RF ampliados por los 31 de las instrucciones; 720 h estimadas, 810 h de capacidad. Se conserva la ruta para evitar enlaces rotos.</w:t>
            </w:r>
          </w:p>
        </w:tc>
        <w:tc>
          <w:tcPr>
            <w:tcW w:type="dxa" w:w="1407"/>
          </w:tcPr>
          <w:p>
            <w:r>
              <w:t>Equipo SICMA</w:t>
            </w:r>
          </w:p>
        </w:tc>
      </w:tr>
    </w:tbl>
    <w:p w:rsidR="00000000" w:rsidDel="00000000" w:rsidP="00000000" w:rsidRDefault="00000000" w:rsidRPr="00000000" w14:paraId="0000006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Criterios de interpretación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"Deberá" identifica una condición obligatoria y verificable del producto.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La línea base vigente usa los 31 RF de las instrucciones aportadas. Las prioridades opcionales de versiones anteriores no agregan trabajo a las 720 h del Kanban.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La configuración de instalación queda fuera de la interfaz. Se mantienen cuentas, clasificación y umbrales necesarios para los RF; no se añade un motor genérico de reglas o permisos físicos.</w:t>
      </w:r>
    </w:p>
    <w:p w:rsidR="00000000" w:rsidDel="00000000" w:rsidP="00000000" w:rsidRDefault="00000000" w:rsidRPr="00000000" w14:paraId="0000006A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6B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1.1 Propósito</w:t>
      </w:r>
    </w:p>
    <w:p w:rsidR="00000000" w:rsidDel="00000000" w:rsidP="00000000" w:rsidRDefault="00000000" w:rsidRPr="00000000" w14:paraId="0000006C">
      <w:pPr>
        <w:spacing w:after="150" w:lineRule="auto"/>
        <w:rPr/>
      </w:pPr>
      <w:r w:rsidDel="00000000" w:rsidR="00000000" w:rsidRPr="00000000">
        <w:rPr>
          <w:rtl w:val="0"/>
        </w:rPr>
        <w:t xml:space="preserve">Este documento establece de manera precisa, no redundante y verificable los requisitos de SICMA. Servirá como línea base para el diseño de arquitectura, casos de uso, modelo de datos, interfaces, desarrollo y pruebas del prototipo académico. La estructura toma como referencia Institute of Electrical and Electronics Engineers (IEEE, 1998), utilizada como base académica y no como declaración de certificación. El alcance se contrasta con la definición del proyecto y su presentación (Equipo SICMA, 2026a, 2026b).</w:t>
      </w:r>
    </w:p>
    <w:p w:rsidR="00000000" w:rsidDel="00000000" w:rsidP="00000000" w:rsidRDefault="00000000" w:rsidRPr="00000000" w14:paraId="0000006D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1.2 Alcance del producto</w:t>
      </w:r>
    </w:p>
    <w:p w:rsidR="00000000" w:rsidDel="00000000" w:rsidP="00000000" w:rsidRDefault="00000000" w:rsidRPr="00000000" w14:paraId="0000006E">
      <w:pPr>
        <w:spacing w:after="150" w:lineRule="auto"/>
        <w:rPr/>
      </w:pPr>
      <w:r>
        <w:rPr>
          <w:rtl w:val="0"/>
        </w:rPr>
        <w:t>Web Angular operativa según rol; móvil Ionic de solo consulta; inventario e historial; ESP32-S3/DHT22 para temperatura y humedad; Zabbix para infraestructura; registro de accesos decididos por HID; solicitudes en Forms, calendario compartido y avisos con Power Automate; indicadores en Power BI.</w:t>
      </w:r>
    </w:p>
    <w:p w:rsidR="00000000" w:rsidDel="00000000" w:rsidP="00000000" w:rsidRDefault="00000000" w:rsidRPr="00000000" w14:paraId="0000006F">
      <w:pPr>
        <w:spacing w:after="150" w:lineRule="auto"/>
        <w:rPr/>
      </w:pPr>
      <w:r w:rsidDel="00000000" w:rsidR="00000000" w:rsidRPr="00000000">
        <w:rPr>
          <w:rtl w:val="0"/>
        </w:rPr>
        <w:t xml:space="preserve">La plataforma web concentrará la administración y operación. La aplicación Android queda confirmada como un canal exclusivo de consulta (solo lectura), sin funciones de creación, edición, aprobación ni cierre; con esto se cierra la diferencia frente al documento 1.5 señalada en la versión 1.1.</w:t>
      </w:r>
    </w:p>
    <w:p w:rsidR="00000000" w:rsidDel="00000000" w:rsidP="00000000" w:rsidRDefault="00000000" w:rsidRPr="00000000" w14:paraId="00000070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1.3 Fuera del alcance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Despliegue productivo dentro de un datacenter real o disponibilidad de nivel empresarial.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Almacenamiento, comparación o procesamiento de imágenes o plantillas de huellas dentro de SICMA.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Accionamiento físico de cerraduras, torniquetes, climatización, UPS, servidores u otros equipos.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Reemplazo de Zabbix como plataforma de monitoreo o de Power BI como herramienta analítica.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Mantenimiento predictivo mediante inteligencia artificial, compras, inventario financiero, depreciación o contabilidad de activos.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Identificación de activos mediante código QR.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Auditoría general, interfaz de administración de parámetros generales de instalación y respaldo lógico de la base de datos. Se conservan la trazabilidad específica y la configuración de negocio exigidas por los requisitos funcionales.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Integración con directorios corporativos, SMS, WhatsApp u otros canales no especificados fuera de Microsoft Forms/Power Automate y el servidor SMTP.</w:t>
      </w:r>
    </w:p>
    <w:p w:rsidR="00000000" w:rsidDel="00000000" w:rsidP="00000000" w:rsidRDefault="00000000" w:rsidRPr="00000000" w14:paraId="0000007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1.4 Supuestos y dependencias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El caso y los datos serán simulados, aunque el ESP32, los sensores y el lector biométrico podrán conectarse físicamente al prototipo.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El acceso efectivo a dispositivos, cuentas, conectores y licencias se verifica en cada integración. Su inclusión en el diseño no acredita disponibilidad ni pruebas completadas.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El lector biométrico realizará la captura y comparación de la huella en su propio dispositivo o software adaptador.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Los umbrales iniciales y listas de destinatarios serán aprobados por el equipo antes de las pruebas y podrán modificarse desde configuración.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La recepción en el servidor SICMA, en UTC, será la fecha oficial para validaciones y alertas. La fecha informada por el dispositivo se conservará por separado, sin sustituir la recepción ni reescribir el historial.</w:t>
      </w:r>
    </w:p>
    <w:p w:rsidR="00000000" w:rsidDel="00000000" w:rsidP="00000000" w:rsidRDefault="00000000" w:rsidRPr="00000000" w14:paraId="00000081">
      <w:pPr>
        <w:spacing w:after="150" w:lineRule="auto"/>
        <w:rPr/>
      </w:pPr>
      <w:r>
        <w:rPr>
          <w:rtl w:val="0"/>
        </w:rPr>
        <w:t>Tecnologías: Django REST Framework, Angular, Ionic, ESP32-S3/DHT22, HID, Zabbix, Forms/Power Automate, SMTP y Power BI. MySQL: tres nodos, Router y un único escritor; backend, base de datos y Zabbix locales, frontend y BI en nube. La dedicación confirmada es de 15 horas semanales por integrante: 3 personas × 15 h × 18 semanas = 810 horas-persona (270 por persona). El Kanban agrupa 36 tareas y 720 horas estimadas, con 90 horas de reserva dentro del mismo semestre; no son horas ejecutadas.</w:t>
      </w:r>
    </w:p>
    <w:p w:rsidR="00000000" w:rsidDel="00000000" w:rsidP="00000000" w:rsidRDefault="00000000" w:rsidRPr="00000000" w14:paraId="00000082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2. Actores y sistemas externos</w:t>
      </w:r>
    </w:p>
    <w:p w:rsidR="00000000" w:rsidDel="00000000" w:rsidP="00000000" w:rsidRDefault="00000000" w:rsidRPr="00000000" w14:paraId="00000083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Actores y sistemas externos</w:t>
      </w:r>
      <w:r w:rsidDel="00000000" w:rsidR="00000000" w:rsidRPr="00000000">
        <w:rPr>
          <w:rtl w:val="0"/>
        </w:rPr>
      </w:r>
    </w:p>
    <w:tbl>
      <w:tblPr>
        <w:tblStyle w:val="Table3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613"/>
        <w:gridCol w:w="6783"/>
        <w:tblGridChange w:id="0">
          <w:tblGrid>
            <w:gridCol w:w="2613"/>
            <w:gridCol w:w="6783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85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86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Responsabilidad y límite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Administrador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Cuentas, activos y umbrales; sin permisos físicos propios.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Jefatura / key users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Consulta y decisión de intervenciones; equivalencia entre actor y rol pendiente.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Técnico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Activos y ejecución de intervenciones asignadas.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Auditor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Consulta de activos, eventos, intervenciones e indicadores.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ESP32-S3/DHT22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Envío de lecturas identificadas.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HID / contratistas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Validación de ingreso y altas/bajas externas; sin huellas en SICMA.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Zabbix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Estado, métricas y problemas de servidores.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Power BI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Datos e indicadores con permisos de lectura.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Forms / Power Automate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Solicitud, calendario dedicado y notificaciones.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SMTP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Recuperación de contraseña, alertas y respaldo de avisos.</w:t>
            </w:r>
          </w:p>
        </w:tc>
      </w:tr>
    </w:tbl>
    <w:p w:rsidR="00000000" w:rsidDel="00000000" w:rsidP="00000000" w:rsidRDefault="00000000" w:rsidRPr="00000000" w14:paraId="0000009B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3. Requisitos funcionales</w:t>
      </w:r>
    </w:p>
    <w:p w:rsidR="00000000" w:rsidDel="00000000" w:rsidP="00000000" w:rsidRDefault="00000000" w:rsidRPr="00000000" w14:paraId="0000009C">
      <w:pPr>
        <w:spacing w:after="150" w:lineRule="auto"/>
        <w:rPr/>
      </w:pPr>
      <w:r>
        <w:rPr>
          <w:rtl w:val="0"/>
        </w:rPr>
        <w:t>Los identificadores ID, ACT, AMB, INF, ACC, INT, BI y PLT siguen las instrucciones vigentes. Sustituyen la numeración y el alcance ampliado de las versiones anteriores; no son requisitos adicionales.</w:t>
      </w:r>
    </w:p>
    <w:p w:rsidR="00000000" w:rsidDel="00000000" w:rsidP="00000000" w:rsidRDefault="00000000" w:rsidRPr="00000000" w14:paraId="0000009D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Autenticación, autorización y usuarios</w:t>
      </w:r>
    </w:p>
    <w:p w:rsidR="00000000" w:rsidDel="00000000" w:rsidP="00000000" w:rsidRDefault="00000000" w:rsidRPr="00000000" w14:paraId="0000009E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Autenticación y usuarios</w:t>
      </w:r>
      <w:r w:rsidDel="00000000" w:rsidR="00000000" w:rsidRPr="00000000">
        <w:rPr>
          <w:rtl w:val="0"/>
        </w:rPr>
      </w:r>
    </w:p>
    <w:tbl>
      <w:tblPr>
        <w:tblStyle w:val="Table4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A0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A1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A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A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Autenticar con JWT que incluya el rol.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Credenciales válidas emiten JWT firmado; la API comprueba cuenta, sesión y rol vigente.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Cerrar la sesión tras 15 minutos de inactividad.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Pasado el plazo, web, móvil y llamadas directas requieren nueva autenticación.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Recuperar contraseña mediante correo y enlace de un solo uso, válido por 30 minutos.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Un enlace usado o vencido no permite cambiar la contraseña.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Permitir al Administrador crear, consultar, editar y desactivar cuentas y asignar roles.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Solo Administrador modifica cuentas; desactivación o cambio de rol revoca las sesiones previas.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Aplicar roles Administrador, Jefatura, Técnico y Auditor.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Las rutas y datos se autorizan en servidor, no solo ocultando botones.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Dar al Auditor consulta de activos, eventos, intervenciones, historial e indicadores.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El Auditor no modifica registros, incluso mediante llamadas directas a la API.</w:t>
            </w:r>
          </w:p>
        </w:tc>
      </w:tr>
    </w:tbl>
    <w:p w:rsidR="00000000" w:rsidDel="00000000" w:rsidP="00000000" w:rsidRDefault="00000000" w:rsidRPr="00000000" w14:paraId="000000C0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Catálogo y trazabilidad de activos</w:t>
      </w:r>
    </w:p>
    <w:p w:rsidR="00000000" w:rsidDel="00000000" w:rsidP="00000000" w:rsidRDefault="00000000" w:rsidRPr="00000000" w14:paraId="000000C2">
      <w:pPr>
        <w:spacing w:after="150" w:lineRule="auto"/>
        <w:rPr/>
      </w:pPr>
      <w:r>
        <w:rPr>
          <w:i w:val="1"/>
          <w:iCs w:val="1"/>
          <w:color w:val="595959"/>
          <w:rtl w:val="0"/>
        </w:rPr>
        <w:t>Inventario web e historial específico, sin QR, adjuntos ni administración compleja de posiciones exclusivas.</w:t>
      </w:r>
    </w:p>
    <w:p w:rsidR="00000000" w:rsidDel="00000000" w:rsidP="00000000" w:rsidRDefault="00000000" w:rsidRPr="00000000" w14:paraId="000000C3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Catálogo de activos</w:t>
      </w:r>
      <w:r w:rsidDel="00000000" w:rsidR="00000000" w:rsidRPr="00000000">
        <w:rPr>
          <w:rtl w:val="0"/>
        </w:rPr>
      </w:r>
    </w:p>
    <w:tbl>
      <w:tblPr>
        <w:tblStyle w:val="Table5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C5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C6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C7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C8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Registrar, actualizar y retirar lógicamente activos desde la web.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Administrador o Técnico autorizado modifica; el retiro conserva el historial.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Clasificar activos por tipo, ubicación y estado.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Cada activo conserva clasificación válida y consultable.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RF-ACT-03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Conservar el historial de eventos e intervenciones asociados al activo.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La ficha muestra únicamente registros relacionados y sus fechas.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RF-ACT-04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Buscar y filtrar activos por sus atributos.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Los filtros combinados devuelven resultados correspondientes y paginados.</w:t>
            </w:r>
          </w:p>
        </w:tc>
      </w:tr>
    </w:tbl>
    <w:p w:rsidR="00000000" w:rsidDel="00000000" w:rsidP="00000000" w:rsidRDefault="00000000" w:rsidRPr="00000000" w14:paraId="000000E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Monitoreo ambiental IoT</w:t>
      </w:r>
    </w:p>
    <w:p w:rsidR="00000000" w:rsidDel="00000000" w:rsidP="00000000" w:rsidRDefault="00000000" w:rsidRPr="00000000" w14:paraId="000000E7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Monitoreo ambiental</w:t>
      </w:r>
      <w:r w:rsidDel="00000000" w:rsidR="00000000" w:rsidRPr="00000000">
        <w:rPr>
          <w:rtl w:val="0"/>
        </w:rPr>
      </w:r>
    </w:p>
    <w:tbl>
      <w:tblPr>
        <w:tblStyle w:val="Table6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E9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EA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EB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EC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Recibir temperatura y humedad del ESP32-S3/DHT22 por HTTP sobre WiFi.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recibe una lectura identificada del dispositivo en el entorno de evaluación.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Validar valores, dispositivo y marca temporal de cada medición.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rechazan mensajes inválidos; se conservan fecha del dispositivo y recepción UTC; los reintentos no duplican.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Configurar umbrales por zona o dispositivo.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Administrador registra mínimos menores que máximos; se identifica el umbral utilizado.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Generar alerta y correo a responsables cuando una medición supera un umbral.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Una lectura fuera de rango produce alerta consultable y evidencia del intento SMTP.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Consultar valores actuales e históricos en web y móvil.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muestran unidad, fuente y fecha; ausencia de datos no se interpreta como valor cero.</w:t>
            </w:r>
          </w:p>
        </w:tc>
      </w:tr>
    </w:tbl>
    <w:p w:rsidR="00000000" w:rsidDel="00000000" w:rsidP="00000000" w:rsidRDefault="00000000" w:rsidRPr="00000000" w14:paraId="0000010D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spacing w:after="150" w:before="300" w:lineRule="auto"/>
        <w:rPr/>
      </w:pPr>
      <w:r>
        <w:rPr>
          <w:rtl w:val="0"/>
        </w:rPr>
        <w:t>Alertas y avisos vinculados a los RF</w:t>
      </w:r>
    </w:p>
    <w:p w:rsidR="00000000" w:rsidDel="00000000" w:rsidP="00000000" w:rsidRDefault="00000000" w:rsidRPr="00000000" w14:paraId="0000010F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00" w:lineRule="auto"/>
        <w:rPr/>
      </w:pPr>
      <w:r>
        <w:rPr>
          <w:i w:val="1"/>
          <w:iCs w:val="1"/>
          <w:color w:val="595959"/>
          <w:sz w:val="19"/>
          <w:szCs w:val="19"/>
          <w:rtl w:val="0"/>
        </w:rPr>
        <w:t>Criterios transversales de notificación</w:t>
      </w:r>
    </w:p>
    <w:tbl>
      <w:tblPr>
        <w:tblStyle w:val="Table7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11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1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1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14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Alerta ambiental y SMTP.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vincula lectura, umbral y resultado de envío.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RF-INF-03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Correo de rendimiento de infraestructura.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vincula evento Zabbix y resultado SMTP.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Avisos de agenda y estado.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Power Automate; SMTP de respaldo sin duplicar envíos.</w:t>
            </w:r>
          </w:p>
        </w:tc>
      </w:tr>
    </w:tbl>
    <w:p w:rsidR="00000000" w:rsidDel="00000000" w:rsidP="00000000" w:rsidRDefault="00000000" w:rsidRPr="00000000" w14:paraId="0000013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Acceso biométrico</w:t>
      </w:r>
    </w:p>
    <w:p w:rsidR="00000000" w:rsidDel="00000000" w:rsidP="00000000" w:rsidRDefault="00000000" w:rsidRPr="00000000" w14:paraId="00000137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Acceso biométrico</w:t>
      </w:r>
      <w:r w:rsidDel="00000000" w:rsidR="00000000" w:rsidRPr="00000000">
        <w:rPr>
          <w:rtl w:val="0"/>
        </w:rPr>
      </w:r>
    </w:p>
    <w:tbl>
      <w:tblPr>
        <w:tblStyle w:val="Table8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39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3A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3B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3C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RF-ACC-01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Recibir la validación de ingreso realizada por HID.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La decisión permitida o denegada procede del lector o su adaptador; SICMA no compara huellas.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RF-ACC-02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Registrar intentos de ingreso permitidos y denegados con usuario, fecha y hora.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Los eventos son consultables e inalterables; se conserva identidad externa aunque no exista cuenta SICMA.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RF-ACC-03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Mantener las altas y bajas del acceso físico en el departamento de contratistas, fuera de SICMA.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documenta y prueba el límite externo; no se implementa un administrador propio de permisos físicos.</w:t>
            </w:r>
          </w:p>
        </w:tc>
      </w:tr>
    </w:tbl>
    <w:p w:rsidR="00000000" w:rsidDel="00000000" w:rsidP="00000000" w:rsidRDefault="00000000" w:rsidRPr="00000000" w14:paraId="00000159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2"/>
        <w:spacing w:after="150" w:before="300" w:lineRule="auto"/>
        <w:rPr/>
      </w:pPr>
      <w:r>
        <w:rPr>
          <w:rtl w:val="0"/>
        </w:rPr>
        <w:t>Intervenciones con Forms y Power Automate</w:t>
      </w:r>
    </w:p>
    <w:p w:rsidR="00000000" w:rsidDel="00000000" w:rsidP="00000000" w:rsidRDefault="00000000" w:rsidRPr="00000000" w14:paraId="0000015B">
      <w:pPr>
        <w:spacing w:after="150" w:lineRule="auto"/>
        <w:rPr/>
      </w:pPr>
      <w:r>
        <w:rPr>
          <w:i w:val="1"/>
          <w:iCs w:val="1"/>
          <w:color w:val="595959"/>
          <w:rtl w:val="0"/>
        </w:rPr>
        <w:t>Forms recibe solicitudes; Power Automate crea la agenda en un calendario compartido dedicado. Key users decide y asigna; Técnico ejecuta en SICMA. No hay reservas propias ni bloqueo por solapamiento. Se debe confirmar la correspondencia key users–Jefatura.</w:t>
      </w:r>
    </w:p>
    <w:p w:rsidR="00000000" w:rsidDel="00000000" w:rsidP="00000000" w:rsidRDefault="00000000" w:rsidRPr="00000000" w14:paraId="0000015C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00" w:lineRule="auto"/>
        <w:rPr/>
      </w:pPr>
      <w:r>
        <w:rPr>
          <w:i w:val="1"/>
          <w:iCs w:val="1"/>
          <w:color w:val="595959"/>
          <w:sz w:val="19"/>
          <w:szCs w:val="19"/>
          <w:rtl w:val="0"/>
        </w:rPr>
        <w:t>Intervenciones y agenda externa</w:t>
      </w:r>
    </w:p>
    <w:tbl>
      <w:tblPr>
        <w:tblStyle w:val="Table9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5E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5F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60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61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Recibir solicitudes de intervención mediante Microsoft Forms.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Cada respuesta válida se identifica de forma única y no duplica solicitudes por reintento.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Crear mediante Power Automate la intervención en un calendario compartido dedicado.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conserva identificador de respuesta, intervención y evento de calendario para comprobar el vínculo.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Permitir a key users aprobar o rechazar y asignar al Técnico responsable.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registra decisión, autor, fecha y responsable. La equivalencia key users–Jefatura debe confirmarse.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Notificar agenda y cambios de estado con Power Automate, con SMTP como respaldo.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registra canal, destinatario y resultado; el respaldo no duplica un envío ya confirmado.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Permitir al Técnico asignado registrar inicio, avance y cierre.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Solo el responsable autorizado ejecuta; se conserva historial de estados y resultado.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Vincular activos e historial de estados a la intervención.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La ficha relaciona activos, decisión y ejecución sin borrar estados anteriores.</w:t>
            </w:r>
          </w:p>
        </w:tc>
      </w:tr>
    </w:tbl>
    <w:p w:rsidR="00000000" w:rsidDel="00000000" w:rsidP="00000000" w:rsidRDefault="00000000" w:rsidRPr="00000000" w14:paraId="00000186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Integración con Zabbix</w:t>
      </w:r>
    </w:p>
    <w:p w:rsidR="00000000" w:rsidDel="00000000" w:rsidP="00000000" w:rsidRDefault="00000000" w:rsidRPr="00000000" w14:paraId="00000188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Integración con Zabbix</w:t>
      </w:r>
      <w:r w:rsidDel="00000000" w:rsidR="00000000" w:rsidRPr="00000000">
        <w:rPr>
          <w:rtl w:val="0"/>
        </w:rPr>
      </w:r>
    </w:p>
    <w:tbl>
      <w:tblPr>
        <w:tblStyle w:val="Table10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8A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8B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8C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8D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RF-INF-01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Integrar estado y rendimiento de servidores monitoreados con Zabbix.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La consulta corresponde al host relacionado y muestra la fecha de actualización.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RF-INF-02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Registrar problemas de Zabbix como eventos técnicos.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Los eventos conservan identificador externo, fecha y origen sin duplicarse por reintento.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RF-INF-03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Notificar por correo las alertas de rendimiento.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 conserva evento, destinatario, fecha y resultado del envío SMTP.</w:t>
            </w:r>
          </w:p>
        </w:tc>
      </w:tr>
    </w:tbl>
    <w:p w:rsidR="00000000" w:rsidDel="00000000" w:rsidP="00000000" w:rsidRDefault="00000000" w:rsidRPr="00000000" w14:paraId="000001A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Indicadores, reportes y Power BI</w:t>
      </w:r>
    </w:p>
    <w:p w:rsidR="00000000" w:rsidDel="00000000" w:rsidP="00000000" w:rsidRDefault="00000000" w:rsidRPr="00000000" w14:paraId="000001A4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Indicadores y Power BI</w:t>
      </w:r>
      <w:r w:rsidDel="00000000" w:rsidR="00000000" w:rsidRPr="00000000">
        <w:rPr>
          <w:rtl w:val="0"/>
        </w:rPr>
      </w:r>
    </w:p>
    <w:tbl>
      <w:tblPr>
        <w:tblStyle w:val="Table11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A6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A7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A8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A9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RF-BI-01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Proveer datos de activos, monitoreo, accesos e intervenciones a Power BI.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El conjunto se consume con permisos de lectura y permite contrastar sus datos con SICMA.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RF-BI-02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Mostrar indicadores en Power BI a Jefatura y Auditor.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D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Los perfiles autorizados acceden al informe; filtros y fecha de actualización se identifican.</w:t>
            </w:r>
          </w:p>
        </w:tc>
      </w:tr>
    </w:tbl>
    <w:p w:rsidR="00000000" w:rsidDel="00000000" w:rsidP="00000000" w:rsidRDefault="00000000" w:rsidRPr="00000000" w14:paraId="000001BE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Aplicación móvil de consulta</w:t>
      </w:r>
    </w:p>
    <w:p w:rsidR="00000000" w:rsidDel="00000000" w:rsidP="00000000" w:rsidRDefault="00000000" w:rsidRPr="00000000" w14:paraId="000001C0">
      <w:pPr>
        <w:spacing w:after="150" w:lineRule="auto"/>
        <w:rPr/>
      </w:pPr>
      <w:r>
        <w:rPr>
          <w:i w:val="1"/>
          <w:iCs w:val="1"/>
          <w:color w:val="595959"/>
          <w:rtl w:val="0"/>
        </w:rPr>
        <w:t>El móvil consulta activos, monitoreo y alertas. No incorpora módulos opcionales de accesos o intervenciones ni acciones de escritura.</w:t>
      </w:r>
    </w:p>
    <w:p w:rsidR="00000000" w:rsidDel="00000000" w:rsidP="00000000" w:rsidRDefault="00000000" w:rsidRPr="00000000" w14:paraId="000001C1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Funciones móviles de consulta</w:t>
      </w:r>
      <w:r w:rsidDel="00000000" w:rsidR="00000000" w:rsidRPr="00000000">
        <w:rPr>
          <w:rtl w:val="0"/>
        </w:rPr>
      </w:r>
    </w:p>
    <w:tbl>
      <w:tblPr>
        <w:tblStyle w:val="Table12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C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C4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C5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C6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RF-PLT-01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Implementar en Angular las operaciones autorizadas por rol.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Cada flujo previsto se puede completar desde la web; Forms conserva el ingreso de solicitudes.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RF-PLT-02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Implementar en Ionic consultas de solo lectura.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El móvil consulta activos y monitoreo/alertas sin editar, aprobar, ejecutar ni retirar registros.</w:t>
            </w:r>
          </w:p>
        </w:tc>
      </w:tr>
    </w:tbl>
    <w:p w:rsidR="00000000" w:rsidDel="00000000" w:rsidP="00000000" w:rsidRDefault="00000000" w:rsidRPr="00000000" w14:paraId="000001DB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50" w:before="300" w:lineRule="auto"/>
        <w:rPr/>
      </w:pPr>
      <w:r>
        <w:rPr>
          <w:rtl w:val="0"/>
        </w:rPr>
        <w:t>Límites y decisiones pendientes</w:t>
      </w:r>
    </w:p>
    <w:p w:rsidR="00000000" w:rsidDel="00000000" w:rsidP="00000000" w:rsidRDefault="00000000" w:rsidRPr="00000000" w14:paraId="000001DD">
      <w:pPr>
        <w:spacing w:after="150" w:lineRule="auto"/>
        <w:rPr/>
      </w:pPr>
      <w:r>
        <w:rPr>
          <w:i w:val="1"/>
          <w:iCs w:val="1"/>
          <w:color w:val="595959"/>
          <w:rtl w:val="0"/>
        </w:rPr>
        <w:t>Quedan fuera reservas propias y resolución de solapamientos, permisos físicos administrados en SICMA, salud general de dependencias, adjuntos, exportaciones generales y un dashboard analítico web que duplique Power BI. Se mantienen las exclusiones de QR, auditoría general, respaldo lógico, biometría cruda y actuación física.</w:t>
      </w:r>
    </w:p>
    <w:p w:rsidR="00000000" w:rsidDel="00000000" w:rsidP="00000000" w:rsidRDefault="00000000" w:rsidRPr="00000000" w14:paraId="000001DE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00" w:lineRule="auto"/>
        <w:rPr/>
      </w:pPr>
      <w:r>
        <w:rPr>
          <w:i w:val="1"/>
          <w:iCs w:val="1"/>
          <w:color w:val="595959"/>
          <w:sz w:val="19"/>
          <w:szCs w:val="19"/>
          <w:rtl w:val="0"/>
        </w:rPr>
        <w:t>Decisiones de integración por verificar</w:t>
      </w:r>
    </w:p>
    <w:tbl>
      <w:tblPr>
        <w:tblStyle w:val="Table13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005"/>
        <w:gridCol w:w="3618"/>
        <w:gridCol w:w="3567"/>
        <w:tblGridChange w:id="0">
          <w:tblGrid>
            <w:gridCol w:w="1206"/>
            <w:gridCol w:w="1005"/>
            <w:gridCol w:w="3618"/>
            <w:gridCol w:w="3567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E0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E1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E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E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Confirmar key users → rol de aplicación.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No atribuir autorización automática a Jefatura sin acuerdo.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Validar hardware, licencias, cuentas y conectores.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Conservar resultados físicos y distinguir simulación.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Pendiente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Fijar parámetros de seguridad, muestreo y retención.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Registrar valores acordados antes de probarlos.</w:t>
            </w:r>
          </w:p>
        </w:tc>
      </w:tr>
    </w:tbl>
    <w:p w:rsidR="00000000" w:rsidDel="00000000" w:rsidP="00000000" w:rsidRDefault="00000000" w:rsidRPr="00000000" w14:paraId="000001E8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4. Interfaces externas</w:t>
      </w:r>
    </w:p>
    <w:p w:rsidR="00000000" w:rsidDel="00000000" w:rsidP="00000000" w:rsidRDefault="00000000" w:rsidRPr="00000000" w14:paraId="000001EA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Interfaces externas</w:t>
      </w:r>
      <w:r w:rsidDel="00000000" w:rsidR="00000000" w:rsidRPr="00000000">
        <w:rPr>
          <w:rtl w:val="0"/>
        </w:rPr>
      </w:r>
    </w:p>
    <w:tbl>
      <w:tblPr>
        <w:tblStyle w:val="Table14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04"/>
        <w:gridCol w:w="1407"/>
        <w:gridCol w:w="2512"/>
        <w:gridCol w:w="2412"/>
        <w:gridCol w:w="2161"/>
        <w:tblGridChange w:id="0">
          <w:tblGrid>
            <w:gridCol w:w="904"/>
            <w:gridCol w:w="1407"/>
            <w:gridCol w:w="2512"/>
            <w:gridCol w:w="2412"/>
            <w:gridCol w:w="2161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EC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ED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EE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Comunicación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EF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Mecanismo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F0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Web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Angular ↔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HTTPS/JSON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Operación por rol.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Móvil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Ionic ↔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HTTPS/JSON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Solo consulta.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IoT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ESP32-S3/DHT22 →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HTTP sobre WiFi; proteger el transporte en el entorno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Lecturas y dispositivo; nunca JWT de usuario embebido en firmware.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Lector/adaptador → API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Contrato del dispositivo por validar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Identidad externa, decisión, punto y fecha; no huellas.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Zabbix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API de Zabbix → SICMA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Cuenta de servicio restringida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Estado, rendimiento y eventos.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Power BI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Datos SICMA → Power BI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Acceso de solo lectura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Validar conector, gateway y licencia.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SMTP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SICMA → correo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SMTP protegido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Recuperación, alertas y respaldo.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Forms / Power Automate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Forms → flujo → calendario y SICMA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Conectores y API autenticada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IDs correlacionados; decisiones y ejecución trazables.</w:t>
            </w:r>
          </w:p>
        </w:tc>
      </w:tr>
    </w:tbl>
    <w:p w:rsidR="00000000" w:rsidDel="00000000" w:rsidP="00000000" w:rsidRDefault="00000000" w:rsidRPr="00000000" w14:paraId="00000219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4.1 Contrato común de las interfaces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Las APIs responderán con código de estado, mensaje controlado, identificador de correlación y datos únicamente cuando corresponda.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Toda solicitud de dispositivo incluirá un identificador habilitado y una credencial individual revocable.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Mediciones e intentos de acceso incluirán identificador de evento único por dispositivo. Reenviar el mismo identificador y contenido no duplicará datos; reutilizarlo con contenido distinto será rechazado y registrado como conflicto.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Las integraciones registrarán éxito, rechazo y error técnico sin incluir secretos en los logs.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Las fechas se intercambiarán en formato ISO 8601 y UTC.</w:t>
      </w:r>
    </w:p>
    <w:p w:rsidR="00000000" w:rsidDel="00000000" w:rsidP="00000000" w:rsidRDefault="00000000" w:rsidRPr="00000000" w14:paraId="00000220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5. Requisitos de datos</w:t>
      </w:r>
    </w:p>
    <w:p w:rsidR="00000000" w:rsidDel="00000000" w:rsidP="00000000" w:rsidRDefault="00000000" w:rsidRPr="00000000" w14:paraId="00000221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Entidades y datos mínimos</w:t>
      </w:r>
      <w:r w:rsidDel="00000000" w:rsidR="00000000" w:rsidRPr="00000000">
        <w:rPr>
          <w:rtl w:val="0"/>
        </w:rPr>
      </w:r>
    </w:p>
    <w:tbl>
      <w:tblPr>
        <w:tblStyle w:val="Table15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613"/>
        <w:gridCol w:w="6783"/>
        <w:tblGridChange w:id="0">
          <w:tblGrid>
            <w:gridCol w:w="2613"/>
            <w:gridCol w:w="6783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2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24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Contenido mínimo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Usuario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correo único; hash; rol; activo; Cuenta de aplicación; sesión y recuperación gestionadas por Django.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Ubicacion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código; nombre; Clasificación de activos y sensores.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Activo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código único; tipo; estado; ubicación_id; Inventario y retiro lógico.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HistorialActivo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activo_id; autor_id; fecha; cambio; Cambios específicos del activo; solo inserción.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Sensor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código único; ubicación_id; credencial_hash; Identidad y ubicación de dispositivo.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Medicion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sensor_id; evento_id; temperatura; humedad; fechas; Recepción y origen; UNIQUE(sensor_id, evento_id).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UmbralAmbiental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zona_id o sensor_id; mínimo; máximo; variable; Regla ambiental; exactamente una zona o dispositivo como alcance.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Alerta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medición_id o evento_zabbix_id; fecha; descripción; Anomalía ambiental o de rendimiento; sin flujo manual de atención.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Notificacion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alerta_id o intervención_id; canal; fecha; resultado; Evidencia de envío sin contraseñas ni tokens.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PuntoAcceso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identificador externo; ubicación_id; Identifica el origen del evento HID.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EventoAcceso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punto_id; evento_id; identidad externa; decisión; fechas; Intento permitido/denegado recibido de HID; inalterable.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Intervencion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forms_id único; calendario_id; responsable_id; estado; fechas; Solicitud y agenda externa; no reserva recursos.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IntervencionActivo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intervención_id; activo_id; Relación N:M; par único.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HistorialIntervencion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intervención_id; autor_id; estado; fecha; comentario; Decisión, inicio, avance y cierre con resultado.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HostZabbix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host_externo único; activo_id; estado; fecha; Vínculo con servidor y última observación.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EventoZabbix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host_id; evento_externo único; fecha; descripción; Problema o evento técnico de infraestructura.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EventoTecnicoIngesta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id; origen; correlación; fecha; causa; Rechazos y errores sin secretos; no es auditoría general.</w:t>
            </w:r>
          </w:p>
        </w:tc>
      </w:tr>
    </w:tbl>
    <w:p w:rsidR="00000000" w:rsidDel="00000000" w:rsidP="00000000" w:rsidRDefault="00000000" w:rsidRPr="00000000" w14:paraId="00000239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5.1 Retención y eliminación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Se conservarán datos de prueba durante el semestre y hasta la evaluación final. Frecuencia de muestreo, volumen, retención posterior y eliminación se acordarán antes del cierre; no se impone una frecuencia de 2 segundos ni se presenta un volumen calculado como dato confirmado.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Eventos de acceso, intervenciones y alertas: no se eliminarán durante la vigencia del proyecto.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Los datos maestros con historial se desactivarán; la eliminación física se limitará a datos de prueba sin referencias y requerirá privilegio administrativo.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720" w:right="0" w:hanging="360"/>
        <w:jc w:val="both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Al cerrar el proyecto, el equipo entregará script SQL y diccionario de datos coherentes con la última versión.</w:t>
      </w:r>
    </w:p>
    <w:p w:rsidR="00000000" w:rsidDel="00000000" w:rsidP="00000000" w:rsidRDefault="00000000" w:rsidRPr="00000000" w14:paraId="0000023F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6. Reglas de negocio</w:t>
      </w:r>
    </w:p>
    <w:p w:rsidR="00000000" w:rsidDel="00000000" w:rsidP="00000000" w:rsidRDefault="00000000" w:rsidRPr="00000000" w14:paraId="00000240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Reglas de negocio</w:t>
      </w:r>
      <w:r w:rsidDel="00000000" w:rsidR="00000000" w:rsidRPr="00000000">
        <w:rPr>
          <w:rtl w:val="0"/>
        </w:rPr>
      </w:r>
    </w:p>
    <w:tbl>
      <w:tblPr>
        <w:tblStyle w:val="Table16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06"/>
        <w:gridCol w:w="8090"/>
        <w:tblGridChange w:id="0">
          <w:tblGrid>
            <w:gridCol w:w="1306"/>
            <w:gridCol w:w="809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4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4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Regla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Identificadores externos únicos y reintentos idempotentes; no duplicar eventos.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Conservar el historial ante retiro o desactivación.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La decisión de acceso procede de HID; contratistas gestiona las identidades físicas externamente.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Solo key users autorizado decide intervenciones y asigna Técnico; confirmar el rol concreto.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El Técnico asignado registra ejecución y cierre; no existen reservas propias.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Distinguir datos simulados de datos físicos en consultas y evidencias.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Power Automate gestiona calendario y avisos; registrar fallos y evitar duplicación del respaldo SMTP.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Preservar fecha del origen y recepción UTC.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RN-09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Power BI e interfaces solo exponen datos autorizados.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RN-10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El total de 720 h ya incluye revisión y documentación; no sumar de nuevo variantes de casos de uso.</w:t>
            </w:r>
          </w:p>
        </w:tc>
      </w:tr>
    </w:tbl>
    <w:p w:rsidR="00000000" w:rsidDel="00000000" w:rsidP="00000000" w:rsidRDefault="00000000" w:rsidRPr="00000000" w14:paraId="00000258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7. Requisitos no funcionales</w:t>
      </w:r>
    </w:p>
    <w:p w:rsidR="00000000" w:rsidDel="00000000" w:rsidP="00000000" w:rsidRDefault="00000000" w:rsidRPr="00000000" w14:paraId="00000259">
      <w:pPr>
        <w:spacing w:after="150" w:lineRule="auto"/>
        <w:rPr/>
      </w:pPr>
      <w:r>
        <w:rPr>
          <w:i w:val="1"/>
          <w:iCs w:val="1"/>
          <w:color w:val="595959"/>
          <w:rtl w:val="0"/>
        </w:rPr>
        <w:t>La seguridad incluye JWT, inactividad, bloqueo de intentos, política y antigüedad de contraseña, comunicaciones restringidas, puertos y accesos mínimos, actualizaciones y pruebas de seguridad. Los parámetros que la fuente no cuantifica requieren acuerdo y evidencia; no se atribuyen valores aprobados.</w:t>
      </w:r>
    </w:p>
    <w:p w:rsidR="00000000" w:rsidDel="00000000" w:rsidP="00000000" w:rsidRDefault="00000000" w:rsidRPr="00000000" w14:paraId="0000025A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Requisitos no funcionales</w:t>
      </w:r>
      <w:r w:rsidDel="00000000" w:rsidR="00000000" w:rsidRPr="00000000">
        <w:rPr>
          <w:rtl w:val="0"/>
        </w:rPr>
      </w:r>
    </w:p>
    <w:tbl>
      <w:tblPr>
        <w:tblStyle w:val="Table17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206"/>
        <w:gridCol w:w="1306"/>
        <w:gridCol w:w="3919"/>
        <w:gridCol w:w="2965"/>
        <w:tblGridChange w:id="0">
          <w:tblGrid>
            <w:gridCol w:w="1206"/>
            <w:gridCol w:w="1306"/>
            <w:gridCol w:w="3919"/>
            <w:gridCol w:w="2965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5C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5D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5E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 medible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5F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Verificación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RNF-SEG-01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Identidad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JWT firmado, rol vigente, revocación e inactividad de 15 minutos.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Probar sesión, cambio de rol, desactivación y acceso directo.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RNF-SEG-02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Contraseñas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Hash seguro; política, antigüedad y bloqueo de intentos parametrizados. Valores por confirmar.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Probar límites acordados y recuperación de 30 minutos/un uso.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RNF-SEG-03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Comunicaciones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Restringir comunicación frontend/backend, puertos y cuentas; proteger el transporte.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Revisar configuración y conexiones autorizadas/no autorizadas.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RNF-SEG-04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Privacidad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Sin huellas ni secretos en repositorio, respuestas o registros.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Inspección de datos y configuración.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RNF-SEG-05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Mantenimiento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Mantener sistema operativo y aplicaciones actualizados.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Registrar versiones y actualizaciones en laboratorio.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RNF-DIS-02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Continuidad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Tres nodos MySQL replicados, Router y único escritor; caída controlada del primario.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Registrar elección, interrupción y recuperación; no prometer disponibilidad empresarial.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RNF-INT-01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Integridad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PK, FK, unicidad, transacciones e idempotencia.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Pruebas de datos inválidos, duplicados y concurrencia de estados.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RNF-INT-02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Fechas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UTC en persistencia, origen y recepción separados.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Contrastar entrada, almacenamiento y visualización.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RNF-CAL-01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Calidad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Análisis SonarQube y pruebas controladas de inyección SQL.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Guardar resultados, correcciones y defectos pendientes.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RNF-USA-01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Usabilidad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Navegación coherente, mensajes claros, carga/vacío/error y fecha del dato.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Recorridos web y móvil con los roles previstos.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RNF-MAN-01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Trazabilidad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Commits y revisión vinculados a tareas y evidencias.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No inferir automatización CI/CD solo por los commits.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0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RNF-REN-01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Rendimiento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Paginación y pruebas con volumen e intervalo documentados. Metas numéricas por acordar.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Registrar entorno, carga, latencia y errores observados.</w:t>
            </w:r>
          </w:p>
        </w:tc>
      </w:tr>
    </w:tbl>
    <w:p w:rsidR="00000000" w:rsidDel="00000000" w:rsidP="00000000" w:rsidRDefault="00000000" w:rsidRPr="00000000" w14:paraId="000002BC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8. Matriz de permisos</w:t>
      </w:r>
    </w:p>
    <w:p w:rsidR="00000000" w:rsidDel="00000000" w:rsidP="00000000" w:rsidRDefault="00000000" w:rsidRPr="00000000" w14:paraId="000002BD">
      <w:pPr>
        <w:spacing w:after="150" w:lineRule="auto"/>
        <w:rPr/>
      </w:pPr>
      <w:r>
        <w:rPr>
          <w:i w:val="1"/>
          <w:iCs w:val="1"/>
          <w:color w:val="595959"/>
          <w:rtl w:val="0"/>
        </w:rPr>
        <w:t>Permisos de aplicación; las altas y bajas físicas pertenecen a contratistas y las solicitudes entran por Forms.</w:t>
      </w:r>
    </w:p>
    <w:p w:rsidR="00000000" w:rsidDel="00000000" w:rsidP="00000000" w:rsidRDefault="00000000" w:rsidRPr="00000000" w14:paraId="000002BE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Permisos por rol</w:t>
      </w:r>
      <w:r w:rsidDel="00000000" w:rsidR="00000000" w:rsidRPr="00000000">
        <w:rPr>
          <w:rtl w:val="0"/>
        </w:rPr>
      </w:r>
    </w:p>
    <w:tbl>
      <w:tblPr>
        <w:tblStyle w:val="Table18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367"/>
        <w:gridCol w:w="1909"/>
        <w:gridCol w:w="1407"/>
        <w:gridCol w:w="1407"/>
        <w:gridCol w:w="1306"/>
        <w:tblGridChange w:id="0">
          <w:tblGrid>
            <w:gridCol w:w="3367"/>
            <w:gridCol w:w="1909"/>
            <w:gridCol w:w="1407"/>
            <w:gridCol w:w="1407"/>
            <w:gridCol w:w="1306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C0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Módulo/acción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C1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C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Jefatura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C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Técnico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C4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Auditor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Cuentas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C/E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C/E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C/E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Umbrales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C/E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Monitoreo y alertas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Eventos HID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Solicitud Forms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Según acceso al formulario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Según acceso al formulario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Según acceso al formulario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—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Decisión de intervención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 si representa key users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Ejecución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 si asignado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Power BI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—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</w:t>
            </w:r>
          </w:p>
        </w:tc>
      </w:tr>
    </w:tbl>
    <w:p w:rsidR="00000000" w:rsidDel="00000000" w:rsidP="00000000" w:rsidRDefault="00000000" w:rsidRPr="00000000" w14:paraId="000002F7">
      <w:pPr>
        <w:spacing w:after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50" w:lineRule="auto"/>
        <w:rPr/>
      </w:pPr>
      <w:r>
        <w:rPr>
          <w:rtl w:val="0"/>
        </w:rPr>
        <w:t>C = consulta; E = ejecución autorizada; — = sin acceso. Solo el Técnico asignado ejecuta. El actor key users decide; su mapeo a Jefatura queda pendiente. El móvil aplica únicamente las consultas previstas y nunca operaciones de negocio.</w:t>
      </w:r>
    </w:p>
    <w:p w:rsidR="00000000" w:rsidDel="00000000" w:rsidP="00000000" w:rsidRDefault="00000000" w:rsidRPr="00000000" w14:paraId="000002F9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9. Criterios globales de aceptación</w:t>
      </w:r>
    </w:p>
    <w:p w:rsidR="00000000" w:rsidDel="00000000" w:rsidP="00000000" w:rsidRDefault="00000000" w:rsidRPr="00000000" w14:paraId="000002FA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Criterios globales de aceptación</w:t>
      </w:r>
      <w:r w:rsidDel="00000000" w:rsidR="00000000" w:rsidRPr="00000000">
        <w:rPr>
          <w:rtl w:val="0"/>
        </w:rPr>
      </w:r>
    </w:p>
    <w:tbl>
      <w:tblPr>
        <w:tblStyle w:val="Table19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06"/>
        <w:gridCol w:w="8090"/>
        <w:tblGridChange w:id="0">
          <w:tblGrid>
            <w:gridCol w:w="1306"/>
            <w:gridCol w:w="809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FC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2FD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Cada RF se vincula a prueba y evidencia; ninguna prioridad antigua amplía el alcance.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Demostrar activos, monitoreo, HID e intervención con datos identificados.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Registrar fallos de integración y mostrar fecha del último dato, sin un módulo general de salud.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Probar denegación de acciones fuera del rol y móvil sin escritura.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Verificar ausencia de huellas y secretos en los entregables.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CA-06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Actualizar Power BI con datos de lectura y comprobar indicadores.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E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CA-07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Reproducir instalación, clúster, seguridad y pruebas con limitaciones explícitas.</w:t>
            </w:r>
          </w:p>
        </w:tc>
      </w:tr>
    </w:tbl>
    <w:p w:rsidR="00000000" w:rsidDel="00000000" w:rsidP="00000000" w:rsidRDefault="00000000" w:rsidRPr="00000000" w14:paraId="0000030C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10. Trazabilidad con los objetivos</w:t>
      </w:r>
    </w:p>
    <w:p w:rsidR="00000000" w:rsidDel="00000000" w:rsidP="00000000" w:rsidRDefault="00000000" w:rsidRPr="00000000" w14:paraId="0000030D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Trazabilidad con los objetivos</w:t>
      </w:r>
      <w:r w:rsidDel="00000000" w:rsidR="00000000" w:rsidRPr="00000000">
        <w:rPr>
          <w:rtl w:val="0"/>
        </w:rPr>
      </w:r>
    </w:p>
    <w:tbl>
      <w:tblPr>
        <w:tblStyle w:val="Table20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914"/>
        <w:gridCol w:w="6482"/>
        <w:tblGridChange w:id="0">
          <w:tblGrid>
            <w:gridCol w:w="2914"/>
            <w:gridCol w:w="6482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30F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Objetivo específico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310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Elementos trazados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Definir requisitos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31 RF vigentes y criterios de aceptación.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Arquitectura y datos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INT-01 a INT-08; entidades y RNF de integridad.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Interfaces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RF-PLT-01 y RF-PLT-02; casos y mockups.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Producto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RF-ID, RF-ACT, RF-AMB, RF-INF, RF-ACC, RF-INT y RF-BI.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Integraciones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Dispositivos, Zabbix, Forms/Power Automate, SMTP y Power BI.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Seguridad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 y RNF-SEG.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1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Pruebas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CA-01 a CA-07 y tarjetas de validación.</w:t>
            </w:r>
          </w:p>
        </w:tc>
      </w:tr>
    </w:tbl>
    <w:p w:rsidR="00000000" w:rsidDel="00000000" w:rsidP="00000000" w:rsidRDefault="00000000" w:rsidRPr="00000000" w14:paraId="0000031F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11. Glosario</w:t>
      </w:r>
    </w:p>
    <w:p w:rsidR="00000000" w:rsidDel="00000000" w:rsidP="00000000" w:rsidRDefault="00000000" w:rsidRPr="00000000" w14:paraId="00000320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Glosario</w:t>
      </w:r>
      <w:r w:rsidDel="00000000" w:rsidR="00000000" w:rsidRPr="00000000">
        <w:rPr>
          <w:rtl w:val="0"/>
        </w:rPr>
      </w:r>
    </w:p>
    <w:tbl>
      <w:tblPr>
        <w:tblStyle w:val="Table21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211"/>
        <w:gridCol w:w="7185"/>
        <w:tblGridChange w:id="0">
          <w:tblGrid>
            <w:gridCol w:w="2211"/>
            <w:gridCol w:w="7185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32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32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Activo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Equipo tecnológico administrado.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Intervención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Solicitud Forms, agenda externa, decisión y ejecución trazables.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Key users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Actor que decide y asigna; rol concreto pendiente.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Contratistas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Actor externo que administra altas/bajas de acceso físico.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Origen externo de validación de ingreso.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Power Automate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Flujo de calendario y notificación.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UTC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Referencia para persistencia de fechas.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Reserva de capacidad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90 h disponibles dentro de las 810 h; no es reserva de recursos del producto.</w:t>
            </w:r>
          </w:p>
        </w:tc>
      </w:tr>
    </w:tbl>
    <w:p w:rsidR="00000000" w:rsidDel="00000000" w:rsidP="00000000" w:rsidRDefault="00000000" w:rsidRPr="00000000" w14:paraId="0000033E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12. Aprobación de la línea base</w:t>
      </w:r>
    </w:p>
    <w:p w:rsidR="00000000" w:rsidDel="00000000" w:rsidP="00000000" w:rsidRDefault="00000000" w:rsidRPr="00000000" w14:paraId="0000033F">
      <w:pPr>
        <w:spacing w:after="150" w:lineRule="auto"/>
        <w:rPr/>
      </w:pPr>
      <w:r w:rsidDel="00000000" w:rsidR="00000000" w:rsidRPr="00000000">
        <w:rPr>
          <w:rtl w:val="0"/>
        </w:rPr>
        <w:t xml:space="preserve">La aprobación confirma que el contenido representa el alcance acordado. Cualquier cambio posterior deberá registrar motivo, impacto, responsable y versión afectada antes de modificar diseño, desarrollo o pruebas.</w:t>
      </w:r>
    </w:p>
    <w:p w:rsidR="00000000" w:rsidDel="00000000" w:rsidP="00000000" w:rsidRDefault="00000000" w:rsidRPr="00000000" w14:paraId="00000340">
      <w:pPr>
        <w:spacing w:after="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Tabla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00" w:lineRule="auto"/>
        <w:rPr/>
      </w:pPr>
      <w:r w:rsidDel="00000000" w:rsidR="00000000" w:rsidRPr="00000000">
        <w:rPr>
          <w:i w:val="1"/>
          <w:iCs w:val="1"/>
          <w:color w:val="595959"/>
          <w:sz w:val="19"/>
          <w:szCs w:val="19"/>
          <w:rtl w:val="0"/>
        </w:rPr>
        <w:t xml:space="preserve">Aprobación de la línea base</w:t>
      </w:r>
      <w:r w:rsidDel="00000000" w:rsidR="00000000" w:rsidRPr="00000000">
        <w:rPr>
          <w:rtl w:val="0"/>
        </w:rPr>
      </w:r>
    </w:p>
    <w:tbl>
      <w:tblPr>
        <w:tblStyle w:val="Table22"/>
        <w:tblW w:w="93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507"/>
        <w:gridCol w:w="3216"/>
        <w:gridCol w:w="2613"/>
        <w:gridCol w:w="2060"/>
        <w:tblGridChange w:id="0">
          <w:tblGrid>
            <w:gridCol w:w="1507"/>
            <w:gridCol w:w="3216"/>
            <w:gridCol w:w="2613"/>
            <w:gridCol w:w="2060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34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343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344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345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46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Álvaro Antonio González Briones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9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34A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34B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Claudio Alejandro Varas Toro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34C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34D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4E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Fidel Argenis Rodríguez Prieto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0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1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352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353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Bravo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354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  <w:vAlign w:val="center"/>
          </w:tcPr>
          <w:p w:rsidR="00000000" w:rsidDel="00000000" w:rsidP="00000000" w:rsidRDefault="00000000" w:rsidRPr="00000000" w14:paraId="00000355">
            <w:pPr>
              <w:spacing w:after="40" w:before="4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0" w:line="240" w:lineRule="auto"/>
        <w:jc w:val="left"/>
        <w:rPr>
          <w:b w:val="1"/>
          <w:bCs w:val="1"/>
          <w:color w:val="1f3864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13. Referencias</w:t>
      </w:r>
    </w:p>
    <w:p w:rsidR="00000000" w:rsidDel="00000000" w:rsidP="00000000" w:rsidRDefault="00000000" w:rsidRPr="00000000" w14:paraId="00000359">
      <w:pPr>
        <w:spacing w:after="150" w:lineRule="auto"/>
        <w:rPr/>
      </w:pPr>
      <w:r w:rsidDel="00000000" w:rsidR="00000000" w:rsidRPr="00000000">
        <w:rPr>
          <w:rtl w:val="0"/>
        </w:rPr>
        <w:t xml:space="preserve">Equipo SICMA. (2026a). Definición del Proyecto APT SICMA Fase 1 [Documento de trabajo de la asignatura Capstone]. Duoc UC.</w:t>
      </w:r>
    </w:p>
    <w:p w:rsidR="00000000" w:rsidDel="00000000" w:rsidP="00000000" w:rsidRDefault="00000000" w:rsidRPr="00000000" w14:paraId="0000035A">
      <w:pPr>
        <w:spacing w:after="150" w:lineRule="auto"/>
        <w:rPr/>
      </w:pPr>
      <w:r>
        <w:rPr>
          <w:rtl w:val="0"/>
        </w:rPr>
        <w:t>Equipo SICMA. (2026b). Instrucciones sistems sicma; Plan del proyecto y Kanban consolidados [Documentos de trabajo, actualización de octubre].</w:t>
      </w:r>
    </w:p>
    <w:p w:rsidR="00000000" w:rsidDel="00000000" w:rsidP="00000000" w:rsidRDefault="00000000" w:rsidRPr="00000000" w14:paraId="0000035B">
      <w:pPr>
        <w:spacing w:after="150" w:lineRule="auto"/>
        <w:rPr/>
      </w:pPr>
      <w:r w:rsidDel="00000000" w:rsidR="00000000" w:rsidRPr="00000000">
        <w:rPr>
          <w:rtl w:val="0"/>
        </w:rPr>
        <w:t xml:space="preserve">Institute of Electrical and Electronics Engineers. (1998). IEEE recommended practice for software requirements specifications (IEEE Std 830-1998). https://standards.ieee.org/ieee/830/1222/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5840" w:w="12240" w:orient="portrait"/>
      <w:pgMar w:bottom="1134" w:top="1134" w:left="1417" w:right="1417" w:header="567" w:footer="56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E">
    <w:pPr>
      <w:spacing w:after="0" w:lineRule="auto"/>
      <w:jc w:val="center"/>
      <w:rPr/>
    </w:pPr>
    <w:r w:rsidDel="00000000" w:rsidR="00000000" w:rsidRPr="00000000">
      <w:rPr>
        <w:color w:val="808080"/>
        <w:sz w:val="16"/>
        <w:szCs w:val="16"/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808080"/>
        <w:sz w:val="16"/>
        <w:szCs w:val="16"/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C">
    <w:pPr>
      <w:pBdr>
        <w:bottom w:color="bfbfbf" w:space="4" w:sz="6" w:val="single"/>
      </w:pBdr>
      <w:spacing w:after="0" w:lineRule="auto"/>
      <w:jc w:val="right"/>
      <w:rPr/>
    </w:pPr>
    <w:r w:rsidDel="00000000" w:rsidR="00000000" w:rsidRPr="00000000">
      <w:rPr>
        <w:color w:val="808080"/>
        <w:sz w:val="16"/>
        <w:szCs w:val="16"/>
        <w:rtl w:val="0"/>
      </w:rPr>
      <w:t xml:space="preserve">SICMA · Documento de Requerimientos · Duoc UC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02020"/>
        <w:sz w:val="22"/>
        <w:szCs w:val="22"/>
        <w:lang w:val="es-CL"/>
      </w:rPr>
    </w:rPrDefault>
    <w:pPrDefault>
      <w:pPr>
        <w:spacing w:after="12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bottom w:color="1f3864" w:space="4" w:sz="8" w:val="single"/>
      </w:pBdr>
      <w:spacing w:after="200" w:before="360" w:lineRule="auto"/>
    </w:pPr>
    <w:rPr>
      <w:b w:val="1"/>
      <w:bCs w:val="1"/>
      <w:color w:val="1f3864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40" w:before="280" w:lineRule="auto"/>
    </w:pPr>
    <w:rPr>
      <w:b w:val="1"/>
      <w:bCs w:val="1"/>
      <w:color w:val="2e5c8a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20" w:lineRule="auto"/>
    </w:pPr>
    <w:rPr>
      <w:b w:val="1"/>
      <w:bCs w:val="1"/>
      <w:color w:val="404040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spacing w:after="100" w:before="200" w:lineRule="auto"/>
    </w:pPr>
    <w:rPr>
      <w:b w:val="1"/>
      <w:bCs w:val="1"/>
      <w:color w:val="404040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Fuerte1" w:customStyle="1">
    <w:name w:val="Fuerte1"/>
    <w:basedOn w:val="Normal"/>
    <w:next w:val="Normal"/>
    <w:qFormat w:val="1"/>
    <w:rPr>
      <w:b w:val="1"/>
      <w:bCs w:val="1"/>
    </w:rPr>
  </w:style>
  <w:style w:type="paragraph" w:styleId="Prrafodelista">
    <w:name w:val="List Paragraph"/>
    <w:basedOn w:val="Normal"/>
    <w:qFormat w:val="1"/>
  </w:style>
  <w:style w:type="character" w:styleId="Hipervnculo">
    <w:name w:val="Hyperlink"/>
    <w:uiPriority w:val="99"/>
    <w:unhideWhenUsed w:val="1"/>
    <w:rPr>
      <w:color w:val="0563c1"/>
      <w:u w:val="single"/>
    </w:rPr>
  </w:style>
  <w:style w:type="character" w:styleId="Refdenotaalpie">
    <w:name w:val="footnote reference"/>
    <w:uiPriority w:val="99"/>
    <w:semiHidden w:val="1"/>
    <w:unhideWhenUsed w:val="1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TextonotapieCar" w:customStyle="1">
    <w:name w:val="Texto nota pie Car"/>
    <w:link w:val="Textonotapie"/>
    <w:uiPriority w:val="99"/>
    <w:semiHidden w:val="1"/>
    <w:unhideWhenUsed w:val="1"/>
    <w:rPr>
      <w:sz w:val="20"/>
      <w:szCs w:val="20"/>
    </w:rPr>
  </w:style>
  <w:style w:type="character" w:styleId="Refdenotaalfinal">
    <w:name w:val="endnote reference"/>
    <w:uiPriority w:val="99"/>
    <w:semiHidden w:val="1"/>
    <w:unhideWhenUsed w:val="1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TextonotaalfinalCar" w:customStyle="1">
    <w:name w:val="Texto nota al final Car"/>
    <w:link w:val="Textonotaalfinal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60.0" w:type="dxa"/>
        <w:left w:w="90.0" w:type="dxa"/>
        <w:bottom w:w="60.0" w:type="dxa"/>
        <w:right w:w="9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kXPxlrziDf7aVTfPGnfmCrLExw==">CgMxLjA4AHIhMTNnRFlIZVM3aXNRbElDNzh3OWVYbFgta1hudUIxeUEy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2026-09-11T21:41:00Z</dcterms:created>
  <dc:creator>Un-named</dc:creator>
</cp:coreProperties>
</file>