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48" name="Picture 48"/>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SICMA · Arquitectura del Sistema</w:t>
      </w:r>
    </w:p>
    <w:p>
      <w:pPr>
        <w:spacing w:before="0" w:after="0"/>
      </w:pPr>
      <w:r>
        <w:rPr>
          <w:b/>
          <w:color w:val="002840"/>
          <w:sz w:val="26"/>
        </w:rPr>
        <w:t>SICMA-ARQ</w:t>
      </w:r>
    </w:p>
    <w:p>
      <w:pPr>
        <w:spacing w:before="2100" w:after="0"/>
      </w:pPr>
    </w:p>
    <w:tbl>
      <w:tblPr>
        <w:tblW w:type="auto" w:w="0"/>
        <w:tblLayout w:type="fixed"/>
        <w:tblBorders>
          <w:top w:val="single" w:sz="6" w:color="B8C0C8"/>
        </w:tblBorders>
        <w:tblInd w:w="108" w:type="dxa"/>
      </w:tblPr>
      <w:tblGrid>
        <w:gridCol w:w="4365"/>
        <w:gridCol w:w="4365"/>
      </w:tblGrid>
      <w:tr>
        <w:tc>
          <w:tcPr>
            <w:tcW w:type="dxa" w:w="4265"/>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265"/>
            <w:tcMar>
              <w:top w:w="160" w:type="dxa"/>
              <w:left w:w="0" w:type="dxa"/>
              <w:right w:w="120" w:type="dxa"/>
            </w:tcMar>
          </w:tcPr>
          <w:p>
            <w:pPr>
              <w:spacing w:before="0" w:after="0"/>
            </w:pPr>
            <w:r>
              <w:rPr>
                <w:b/>
                <w:color w:val="5A6672"/>
                <w:sz w:val="17"/>
              </w:rPr>
              <w:t>FECHA DE LA VERSIÓN</w:t>
            </w:r>
          </w:p>
          <w:p>
            <w:pPr>
              <w:spacing w:before="40" w:after="0"/>
            </w:pPr>
            <w:r>
              <w:rPr>
                <w:sz w:val="23"/>
              </w:rPr>
              <w:t>26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ageBreakBefore/>
        <w:spacing w:before="360" w:after="160"/>
      </w:pPr>
      <w:r>
        <w:rPr>
          <w:b/>
          <w:color w:val="002840"/>
          <w:sz w:val="32"/>
        </w:rPr>
        <w:t>Tabla de contenido</w:t>
      </w:r>
    </w:p>
    <w:p>
      <w:pPr>
        <w:pStyle w:val="toc1"/>
      </w:pPr>
      <w:r>
        <w:fldChar w:fldCharType="begin"/>
      </w:r>
      <w:r>
        <w:instrText xml:space="preserve"> TOC \o "2-3" \h \z \u </w:instrText>
      </w:r>
      <w:r>
        <w:fldChar w:fldCharType="separate"/>
      </w:r>
      <w:r>
        <w:t>Control de cambios</w:t>
      </w:r>
      <w:r>
        <w:tab/>
      </w:r>
      <w:r>
        <w:t>3</w:t>
      </w:r>
    </w:p>
    <w:p>
      <w:pPr>
        <w:pStyle w:val="toc1"/>
      </w:pPr>
      <w:r>
        <w:t>Resumen y propósito</w:t>
      </w:r>
      <w:r>
        <w:tab/>
      </w:r>
      <w:r>
        <w:t>3</w:t>
      </w:r>
    </w:p>
    <w:p>
      <w:pPr>
        <w:pStyle w:val="toc1"/>
      </w:pPr>
      <w:r>
        <w:t>Alcance</w:t>
      </w:r>
      <w:r>
        <w:tab/>
      </w:r>
      <w:r>
        <w:t>3</w:t>
      </w:r>
    </w:p>
    <w:p>
      <w:pPr>
        <w:pStyle w:val="toc1"/>
      </w:pPr>
      <w:r>
        <w:t>Metas arquitectónicas</w:t>
      </w:r>
      <w:r>
        <w:tab/>
      </w:r>
      <w:r>
        <w:t>4</w:t>
      </w:r>
    </w:p>
    <w:p>
      <w:pPr>
        <w:pStyle w:val="toc1"/>
      </w:pPr>
      <w:r>
        <w:t>Vista de escenarios (+1)</w:t>
      </w:r>
      <w:r>
        <w:tab/>
      </w:r>
      <w:r>
        <w:t>4</w:t>
      </w:r>
    </w:p>
    <w:p>
      <w:pPr>
        <w:pStyle w:val="toc1"/>
      </w:pPr>
      <w:r>
        <w:t>Vista lógica</w:t>
      </w:r>
      <w:r>
        <w:tab/>
      </w:r>
      <w:r>
        <w:t>5</w:t>
      </w:r>
    </w:p>
    <w:p>
      <w:pPr>
        <w:pStyle w:val="toc2"/>
      </w:pPr>
      <w:r>
        <w:t>Roles y permisos</w:t>
      </w:r>
      <w:r>
        <w:tab/>
      </w:r>
      <w:r>
        <w:t>6</w:t>
      </w:r>
    </w:p>
    <w:p>
      <w:pPr>
        <w:pStyle w:val="toc1"/>
      </w:pPr>
      <w:r>
        <w:t>Vista de procesos</w:t>
      </w:r>
      <w:r>
        <w:tab/>
      </w:r>
      <w:r>
        <w:t>6</w:t>
      </w:r>
    </w:p>
    <w:p>
      <w:pPr>
        <w:pStyle w:val="toc2"/>
      </w:pPr>
      <w:r>
        <w:t>Escenario E-01: lectura ambiental y alerta</w:t>
      </w:r>
      <w:r>
        <w:tab/>
      </w:r>
      <w:r>
        <w:t>7</w:t>
      </w:r>
    </w:p>
    <w:p>
      <w:pPr>
        <w:pStyle w:val="toc2"/>
      </w:pPr>
      <w:r>
        <w:t>Escenario E-03: intervención</w:t>
      </w:r>
      <w:r>
        <w:tab/>
      </w:r>
      <w:r>
        <w:t>7</w:t>
      </w:r>
    </w:p>
    <w:p>
      <w:pPr>
        <w:pStyle w:val="toc2"/>
      </w:pPr>
      <w:r>
        <w:t>Escenario E-04: acceso con huella</w:t>
      </w:r>
      <w:r>
        <w:tab/>
      </w:r>
      <w:r>
        <w:t>8</w:t>
      </w:r>
    </w:p>
    <w:p>
      <w:pPr>
        <w:pStyle w:val="toc1"/>
      </w:pPr>
      <w:r>
        <w:t>Vista de desarrollo</w:t>
      </w:r>
      <w:r>
        <w:tab/>
      </w:r>
      <w:r>
        <w:t>8</w:t>
      </w:r>
    </w:p>
    <w:p>
      <w:pPr>
        <w:pStyle w:val="toc2"/>
      </w:pPr>
      <w:r>
        <w:t>Estructura del repositorio</w:t>
      </w:r>
      <w:r>
        <w:tab/>
      </w:r>
      <w:r>
        <w:t>8</w:t>
      </w:r>
    </w:p>
    <w:p>
      <w:pPr>
        <w:pStyle w:val="toc2"/>
      </w:pPr>
      <w:r>
        <w:t>Tecnologías</w:t>
      </w:r>
      <w:r>
        <w:tab/>
      </w:r>
      <w:r>
        <w:t>8</w:t>
      </w:r>
    </w:p>
    <w:p>
      <w:pPr>
        <w:pStyle w:val="toc2"/>
      </w:pPr>
      <w:r>
        <w:t>Organización del frontend</w:t>
      </w:r>
      <w:r>
        <w:tab/>
      </w:r>
      <w:r>
        <w:t>9</w:t>
      </w:r>
    </w:p>
    <w:p>
      <w:pPr>
        <w:pStyle w:val="toc2"/>
      </w:pPr>
      <w:r>
        <w:t>Pruebas y calidad</w:t>
      </w:r>
      <w:r>
        <w:tab/>
      </w:r>
      <w:r>
        <w:t>9</w:t>
      </w:r>
    </w:p>
    <w:p>
      <w:pPr>
        <w:pStyle w:val="toc1"/>
      </w:pPr>
      <w:r>
        <w:t>Vista física</w:t>
      </w:r>
      <w:r>
        <w:tab/>
      </w:r>
      <w:r>
        <w:t>9</w:t>
      </w:r>
    </w:p>
    <w:p>
      <w:pPr>
        <w:pStyle w:val="toc2"/>
      </w:pPr>
      <w:r>
        <w:t>Escenario E-05: caída del nodo primary</w:t>
      </w:r>
      <w:r>
        <w:tab/>
      </w:r>
      <w:r>
        <w:t>10</w:t>
      </w:r>
    </w:p>
    <w:p>
      <w:pPr>
        <w:pStyle w:val="toc1"/>
      </w:pPr>
      <w:r>
        <w:t>Seguridad en la arquitectura</w:t>
      </w:r>
      <w:r>
        <w:tab/>
      </w:r>
      <w:r>
        <w:t>10</w:t>
      </w:r>
    </w:p>
    <w:p>
      <w:pPr>
        <w:pStyle w:val="toc1"/>
      </w:pPr>
      <w:r>
        <w:t>Monitoreo y registro de eventos</w:t>
      </w:r>
      <w:r>
        <w:tab/>
      </w:r>
      <w:r>
        <w:t>11</w:t>
      </w:r>
    </w:p>
    <w:p>
      <w:pPr>
        <w:pStyle w:val="toc2"/>
      </w:pPr>
      <w:r>
        <w:t>Monitoreo de la infraestructura</w:t>
      </w:r>
      <w:r>
        <w:tab/>
      </w:r>
      <w:r>
        <w:t>11</w:t>
      </w:r>
    </w:p>
    <w:p>
      <w:pPr>
        <w:pStyle w:val="toc2"/>
      </w:pPr>
      <w:r>
        <w:t>Registro de eventos de la aplicación</w:t>
      </w:r>
      <w:r>
        <w:tab/>
      </w:r>
      <w:r>
        <w:t>11</w:t>
      </w:r>
    </w:p>
    <w:p>
      <w:pPr>
        <w:pStyle w:val="toc2"/>
      </w:pPr>
      <w:r>
        <w:t>Registro de auditoría en base de datos</w:t>
      </w:r>
      <w:r>
        <w:tab/>
      </w:r>
      <w:r>
        <w:t>11</w:t>
      </w:r>
    </w:p>
    <w:p>
      <w:pPr>
        <w:pStyle w:val="toc2"/>
      </w:pPr>
      <w:r>
        <w:t>Brechas y propuesta</w:t>
      </w:r>
      <w:r>
        <w:tab/>
      </w:r>
      <w:r>
        <w:t>11</w:t>
      </w:r>
    </w:p>
    <w:p>
      <w:pPr>
        <w:pStyle w:val="toc1"/>
      </w:pPr>
      <w:r>
        <w:t>Decisiones de arquitectura</w:t>
      </w:r>
      <w:r>
        <w:tab/>
      </w:r>
      <w:r>
        <w:t>12</w:t>
      </w:r>
    </w:p>
    <w:p>
      <w:pPr>
        <w:pStyle w:val="toc1"/>
      </w:pPr>
      <w:r>
        <w:t>Trazabilidad con los requerimientos</w:t>
      </w:r>
      <w:r>
        <w:tab/>
      </w:r>
      <w:r>
        <w:t>12</w:t>
      </w:r>
    </w:p>
    <w:p>
      <w:pPr>
        <w:pStyle w:val="toc1"/>
      </w:pPr>
      <w:r>
        <w:t>Diferencias con los documentos vigentes</w:t>
      </w:r>
      <w:r>
        <w:tab/>
      </w:r>
      <w:r>
        <w:t>13</w:t>
      </w:r>
    </w:p>
    <w:p>
      <w:pPr>
        <w:pStyle w:val="toc1"/>
      </w:pPr>
      <w:r>
        <w:t>Supuestos y pendientes</w:t>
      </w:r>
      <w:r>
        <w:tab/>
      </w:r>
      <w:r>
        <w:t>13</w:t>
      </w:r>
    </w:p>
    <w:p>
      <w:pPr>
        <w:pStyle w:val="toc1"/>
      </w:pPr>
      <w:r>
        <w:t>Glosario</w:t>
      </w:r>
      <w:r>
        <w:tab/>
      </w:r>
      <w:r>
        <w:t>14</w:t>
      </w:r>
    </w:p>
    <w:p>
      <w:pPr>
        <w:pStyle w:val="toc1"/>
      </w:pPr>
      <w:r>
        <w:t>Referencias</w:t>
      </w:r>
      <w:r>
        <w:tab/>
      </w:r>
      <w:r>
        <w:t>15</w:t>
      </w:r>
      <w:r>
        <w:fldChar w:fldCharType="end"/>
      </w:r>
    </w:p>
    <w:bookmarkStart w:id="20" w:name="control-de-cambios"/>
    <w:p>
      <w:pPr>
        <w:pStyle w:val="Heading2"/>
        <w:pageBreakBefore/>
      </w:pPr>
      <w:r>
        <w:t xml:space="preserve">Control de cambios</w:t>
      </w:r>
    </w:p>
    <w:p>
      <w:pPr>
        <w:pStyle w:val="FirstParagraph"/>
        <w:spacing w:line="360" w:lineRule="auto" w:before="160" w:after="0"/>
        <w:ind w:firstLine="709"/>
        <w:jc w:val="both"/>
      </w:pPr>
      <w:r>
        <w:rPr>
          <w:sz w:val="22"/>
        </w:rPr>
        <w:t xml:space="preserve">Versión vigente 1.0 del documento SICMA-ARQ.</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394"/>
        <w:gridCol w:w="4525"/>
      </w:tblGrid>
      <w:tr>
        <w:trPr>
          <w:tblHeader w:val="true"/>
        </w:trPr>
        <w:tc>
          <w:tcPr>
            <w:tcW w:w="3394" w:type="dxa"/>
            <w:shd w:val="clear" w:color="auto" w:fill="D9E2F3"/>
          </w:tcPr>
          <w:p>
            <w:pPr>
              <w:pStyle w:val="Compact"/>
              <w:jc w:val="left"/>
            </w:pPr>
            <w:r>
              <w:rPr>
                <w:b/>
                <w:sz w:val="18"/>
              </w:rPr>
              <w:t xml:space="preserve">Campo</w:t>
            </w:r>
          </w:p>
        </w:tc>
        <w:tc>
          <w:tcPr>
            <w:tcW w:w="4525" w:type="dxa"/>
            <w:shd w:val="clear" w:color="auto" w:fill="D9E2F3"/>
          </w:tcPr>
          <w:p>
            <w:pPr>
              <w:pStyle w:val="Compact"/>
              <w:jc w:val="left"/>
            </w:pPr>
            <w:r>
              <w:rPr>
                <w:b/>
                <w:sz w:val="18"/>
              </w:rPr>
              <w:t xml:space="preserve">Valor</w:t>
            </w:r>
          </w:p>
        </w:tc>
      </w:tr>
      <w:tr>
        <w:tc>
          <w:tcPr>
            <w:tcW w:w="3394" w:type="dxa"/>
          </w:tcPr>
          <w:p>
            <w:pPr>
              <w:pStyle w:val="Compact"/>
              <w:jc w:val="left"/>
            </w:pPr>
            <w:r>
              <w:rPr>
                <w:sz w:val="18"/>
              </w:rPr>
              <w:t xml:space="preserve">ID del documento</w:t>
            </w:r>
          </w:p>
        </w:tc>
        <w:tc>
          <w:tcPr>
            <w:tcW w:w="4525" w:type="dxa"/>
          </w:tcPr>
          <w:p>
            <w:pPr>
              <w:pStyle w:val="Compact"/>
              <w:jc w:val="left"/>
            </w:pPr>
            <w:r>
              <w:rPr>
                <w:sz w:val="18"/>
              </w:rPr>
              <w:t xml:space="preserve">SICMA-ARQ</w:t>
            </w:r>
          </w:p>
        </w:tc>
      </w:tr>
      <w:tr>
        <w:tc>
          <w:tcPr>
            <w:tcW w:w="3394" w:type="dxa"/>
          </w:tcPr>
          <w:p>
            <w:pPr>
              <w:pStyle w:val="Compact"/>
              <w:jc w:val="left"/>
            </w:pPr>
            <w:r>
              <w:rPr>
                <w:sz w:val="18"/>
              </w:rPr>
              <w:t xml:space="preserve">Versión</w:t>
            </w:r>
          </w:p>
        </w:tc>
        <w:tc>
          <w:tcPr>
            <w:tcW w:w="4525" w:type="dxa"/>
          </w:tcPr>
          <w:p>
            <w:pPr>
              <w:pStyle w:val="Compact"/>
              <w:jc w:val="left"/>
            </w:pPr>
            <w:r>
              <w:rPr>
                <w:sz w:val="18"/>
              </w:rPr>
              <w:t xml:space="preserve">1.0</w:t>
            </w:r>
          </w:p>
        </w:tc>
      </w:tr>
      <w:tr>
        <w:tc>
          <w:tcPr>
            <w:tcW w:w="3394" w:type="dxa"/>
          </w:tcPr>
          <w:p>
            <w:pPr>
              <w:pStyle w:val="Compact"/>
              <w:jc w:val="left"/>
            </w:pPr>
            <w:r>
              <w:rPr>
                <w:sz w:val="18"/>
              </w:rPr>
              <w:t xml:space="preserve">Estado</w:t>
            </w:r>
          </w:p>
        </w:tc>
        <w:tc>
          <w:tcPr>
            <w:tcW w:w="4525" w:type="dxa"/>
          </w:tcPr>
          <w:p>
            <w:pPr>
              <w:pStyle w:val="Compact"/>
              <w:jc w:val="left"/>
            </w:pPr>
            <w:r>
              <w:rPr>
                <w:sz w:val="18"/>
              </w:rPr>
              <w:t xml:space="preserve">Vigente</w:t>
            </w:r>
          </w:p>
        </w:tc>
      </w:tr>
      <w:tr>
        <w:tc>
          <w:tcPr>
            <w:tcW w:w="3394" w:type="dxa"/>
          </w:tcPr>
          <w:p>
            <w:pPr>
              <w:pStyle w:val="Compact"/>
              <w:jc w:val="left"/>
            </w:pPr>
            <w:r>
              <w:rPr>
                <w:sz w:val="18"/>
              </w:rPr>
              <w:t xml:space="preserve">Fecha</w:t>
            </w:r>
          </w:p>
        </w:tc>
        <w:tc>
          <w:tcPr>
            <w:tcW w:w="4525" w:type="dxa"/>
          </w:tcPr>
          <w:p>
            <w:pPr>
              <w:pStyle w:val="Compact"/>
              <w:jc w:val="left"/>
            </w:pPr>
            <w:r>
              <w:rPr>
                <w:sz w:val="18"/>
              </w:rPr>
              <w:t xml:space="preserve">2026-10-26</w:t>
            </w:r>
          </w:p>
        </w:tc>
      </w:tr>
      <w:tr>
        <w:tc>
          <w:tcPr>
            <w:tcW w:w="3394" w:type="dxa"/>
          </w:tcPr>
          <w:p>
            <w:pPr>
              <w:pStyle w:val="Compact"/>
              <w:jc w:val="left"/>
            </w:pPr>
            <w:r>
              <w:rPr>
                <w:sz w:val="18"/>
              </w:rPr>
              <w:t xml:space="preserve">Basado en</w:t>
            </w:r>
          </w:p>
        </w:tc>
        <w:tc>
          <w:tcPr>
            <w:tcW w:w="4525" w:type="dxa"/>
          </w:tcPr>
          <w:p>
            <w:pPr>
              <w:pStyle w:val="Compact"/>
              <w:jc w:val="left"/>
            </w:pPr>
            <w:r>
              <w:rPr>
                <w:sz w:val="18"/>
              </w:rPr>
              <w:t xml:space="preserve">SICMA-REQ v1.0 (requerimientos), SICMA-CUS v1.0 (casos de uso), SICMA-CLA v1.0 (clases), SICMA-ACT v1.0 (actividades), SICMA-BDD v1.0 (base de datos), SICMA-PRY v1.1 (plan) y el código del repositorio al 25 de octubre de 2026 (commit 59710a5d)</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72"/>
        <w:gridCol w:w="1237"/>
        <w:gridCol w:w="1502"/>
        <w:gridCol w:w="5126"/>
      </w:tblGrid>
      <w:tr>
        <w:trPr>
          <w:tblHeader w:val="true"/>
        </w:trPr>
        <w:tc>
          <w:tcPr>
            <w:tcW w:w="972" w:type="dxa"/>
            <w:shd w:val="clear" w:color="auto" w:fill="D9E2F3"/>
          </w:tcPr>
          <w:p>
            <w:pPr>
              <w:pStyle w:val="Compact"/>
              <w:jc w:val="left"/>
            </w:pPr>
            <w:r>
              <w:rPr>
                <w:b/>
                <w:sz w:val="18"/>
              </w:rPr>
              <w:t xml:space="preserve">Versión</w:t>
            </w:r>
          </w:p>
        </w:tc>
        <w:tc>
          <w:tcPr>
            <w:tcW w:w="1237" w:type="dxa"/>
            <w:shd w:val="clear" w:color="auto" w:fill="D9E2F3"/>
          </w:tcPr>
          <w:p>
            <w:pPr>
              <w:pStyle w:val="Compact"/>
              <w:jc w:val="left"/>
            </w:pPr>
            <w:r>
              <w:rPr>
                <w:b/>
                <w:sz w:val="18"/>
              </w:rPr>
              <w:t xml:space="preserve">Fecha</w:t>
            </w:r>
          </w:p>
        </w:tc>
        <w:tc>
          <w:tcPr>
            <w:tcW w:w="1502" w:type="dxa"/>
            <w:shd w:val="clear" w:color="auto" w:fill="D9E2F3"/>
          </w:tcPr>
          <w:p>
            <w:pPr>
              <w:pStyle w:val="Compact"/>
              <w:jc w:val="left"/>
            </w:pPr>
            <w:r>
              <w:rPr>
                <w:b/>
                <w:sz w:val="18"/>
              </w:rPr>
              <w:t xml:space="preserve">Autor</w:t>
            </w:r>
          </w:p>
        </w:tc>
        <w:tc>
          <w:tcPr>
            <w:tcW w:w="5126" w:type="dxa"/>
            <w:shd w:val="clear" w:color="auto" w:fill="D9E2F3"/>
          </w:tcPr>
          <w:p>
            <w:pPr>
              <w:pStyle w:val="Compact"/>
              <w:jc w:val="left"/>
            </w:pPr>
            <w:r>
              <w:rPr>
                <w:b/>
                <w:sz w:val="18"/>
              </w:rPr>
              <w:t xml:space="preserve">Cambio</w:t>
            </w:r>
          </w:p>
        </w:tc>
      </w:tr>
      <w:tr>
        <w:tc>
          <w:tcPr>
            <w:tcW w:w="972" w:type="dxa"/>
          </w:tcPr>
          <w:p>
            <w:pPr>
              <w:pStyle w:val="Compact"/>
              <w:jc w:val="left"/>
            </w:pPr>
            <w:r>
              <w:rPr>
                <w:sz w:val="18"/>
              </w:rPr>
              <w:t xml:space="preserve">1.0</w:t>
            </w:r>
          </w:p>
        </w:tc>
        <w:tc>
          <w:tcPr>
            <w:tcW w:w="1237" w:type="dxa"/>
          </w:tcPr>
          <w:p>
            <w:pPr>
              <w:pStyle w:val="Compact"/>
              <w:jc w:val="left"/>
            </w:pPr>
            <w:r>
              <w:rPr>
                <w:sz w:val="18"/>
              </w:rPr>
              <w:t xml:space="preserve">2026-10-26</w:t>
            </w:r>
          </w:p>
        </w:tc>
        <w:tc>
          <w:tcPr>
            <w:tcW w:w="1502" w:type="dxa"/>
          </w:tcPr>
          <w:p>
            <w:pPr>
              <w:pStyle w:val="Compact"/>
              <w:jc w:val="left"/>
            </w:pPr>
            <w:r>
              <w:rPr>
                <w:sz w:val="18"/>
              </w:rPr>
              <w:t>Claudio Varas</w:t>
            </w:r>
          </w:p>
        </w:tc>
        <w:tc>
          <w:tcPr>
            <w:tcW w:w="5126" w:type="dxa"/>
          </w:tcPr>
          <w:p>
            <w:pPr>
              <w:pStyle w:val="Compact"/>
              <w:jc w:val="left"/>
            </w:pPr>
            <w:r>
              <w:rPr>
                <w:sz w:val="18"/>
              </w:rPr>
              <w:t>Primera versión: arquitectura en cinco vistas (modelo 4+1), despliegue, seguridad, monitoreo y registro de eventos, decisiones y diferencias con los documentos vigentes.</w:t>
            </w:r>
          </w:p>
        </w:tc>
      </w:tr>
    </w:tbl>
    <w:bookmarkEnd w:id="20"/>
    <w:bookmarkStart w:id="21" w:name="resumen-y-propósito"/>
    <w:p>
      <w:pPr>
        <w:pStyle w:val="Heading2"/>
      </w:pPr>
      <w:r>
        <w:t xml:space="preserve">Resumen y propósito</w:t>
      </w:r>
    </w:p>
    <w:p>
      <w:pPr>
        <w:pStyle w:val="FirstParagraph"/>
        <w:spacing w:line="360" w:lineRule="auto" w:before="160" w:after="0"/>
        <w:ind w:firstLine="709"/>
        <w:jc w:val="both"/>
      </w:pPr>
      <w:r>
        <w:rPr>
          <w:sz w:val="22"/>
        </w:rPr>
        <w:t xml:space="preserve">Este documento describe cómo está construido SICMA y por qué. Usa el modelo de vistas 4+1 de Kruchten [9], que explica una arquitectura con cinco vistas: lógica, de procesos, de desarrollo, física y de escenarios. Cada vista responde a una pregunta distinta y, juntas, permiten revisar que el diseño cubre los requerimientos de SICMA-REQ.</w:t>
      </w:r>
    </w:p>
    <w:p>
      <w:pPr>
        <w:pStyle w:val="BodyText"/>
        <w:spacing w:line="360" w:lineRule="auto" w:before="160" w:after="0"/>
        <w:ind w:firstLine="709"/>
        <w:jc w:val="both"/>
      </w:pPr>
      <w:r>
        <w:rPr>
          <w:sz w:val="22"/>
        </w:rPr>
        <w:t xml:space="preserve">La descripción se hizo leyendo el código del repositorio, no solo los documentos de diseño. Donde el código y los documentos vigentes no coinciden, el documento lo señala en la sección</w:t>
      </w:r>
      <w:r>
        <w:rPr>
          <w:sz w:val="22"/>
        </w:rPr>
        <w:t xml:space="preserve"> </w:t>
      </w:r>
      <w:r>
        <w:rPr>
          <w:sz w:val="22"/>
        </w:rPr>
        <w:t xml:space="preserve">“</w:t>
      </w:r>
      <w:r>
        <w:rPr>
          <w:sz w:val="22"/>
        </w:rPr>
        <w:t xml:space="preserve">Diferencias con los documentos vigentes</w:t>
      </w:r>
      <w:r>
        <w:rPr>
          <w:sz w:val="22"/>
        </w:rPr>
        <w:t xml:space="preserve">”</w:t>
      </w:r>
      <w:r>
        <w:rPr>
          <w:sz w:val="22"/>
        </w:rPr>
        <w:t xml:space="preserve"> </w:t>
      </w:r>
      <w:r>
        <w:rPr>
          <w:sz w:val="22"/>
        </w:rPr>
        <w:t xml:space="preserve">y en los pendientes. Este documento incluye también el despliegue y el monitoreo y registro de eventos, que el docente pide como parte de la arquitectura.</w:t>
      </w:r>
    </w:p>
    <w:bookmarkEnd w:id="21"/>
    <w:bookmarkStart w:id="22" w:name="alcance"/>
    <w:p>
      <w:pPr>
        <w:pStyle w:val="Heading2"/>
      </w:pPr>
      <w:r>
        <w:t xml:space="preserve">Alcance</w:t>
      </w:r>
    </w:p>
    <w:p>
      <w:pPr>
        <w:pStyle w:val="FirstParagraph"/>
        <w:spacing w:line="360" w:lineRule="auto" w:before="160" w:after="0"/>
        <w:ind w:firstLine="709"/>
        <w:jc w:val="both"/>
      </w:pPr>
      <w:r>
        <w:rPr>
          <w:sz w:val="22"/>
        </w:rPr>
        <w:t xml:space="preserve">Cubre el prototipo completo: backend Django, base de datos MySQL InnoDB Cluster, web Angular, app móvil Ionic, agente del lector biométrico, integración con Zabbix, con Microsoft 365 y con el servidor de correo, y los sensores ESP32-S3. No cubre una puesta en producción en un datacenter real, que SICMA-PRY deja fuera del alcance.</w:t>
      </w:r>
    </w:p>
    <w:p>
      <w:pPr>
        <w:pStyle w:val="BodyText"/>
        <w:spacing w:line="360" w:lineRule="auto" w:before="160" w:after="0"/>
        <w:ind w:firstLine="709"/>
        <w:jc w:val="both"/>
      </w:pPr>
      <w:r>
        <w:rPr>
          <w:sz w:val="22"/>
        </w:rPr>
        <w:t xml:space="preserve">El firmware del ESP32-S3 no está en el repositorio, por lo que su descripción se apoya en lo que la API espera recibir y no en su código.</w:t>
      </w:r>
    </w:p>
    <w:bookmarkEnd w:id="22"/>
    <w:bookmarkStart w:id="23" w:name="metas-arquitectónicas"/>
    <w:p>
      <w:pPr>
        <w:pStyle w:val="Heading2"/>
      </w:pPr>
      <w:r>
        <w:t xml:space="preserve">Metas arquitectónicas</w:t>
      </w:r>
    </w:p>
    <w:p>
      <w:pPr>
        <w:pStyle w:val="FirstParagraph"/>
        <w:spacing w:line="360" w:lineRule="auto" w:before="160" w:after="0"/>
        <w:ind w:firstLine="709"/>
        <w:jc w:val="both"/>
      </w:pPr>
      <w:r>
        <w:rPr>
          <w:sz w:val="22"/>
        </w:rPr>
        <w:t xml:space="preserve">Los requerimientos no funcionales de SICMA-REQ determinan las decisiones principales. La tabla resume los que más influyen y cómo los resuelve la arquitectura.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037"/>
        <w:gridCol w:w="2272"/>
        <w:gridCol w:w="3609"/>
      </w:tblGrid>
      <w:tr>
        <w:trPr>
          <w:tblHeader w:val="true"/>
        </w:trPr>
        <w:tc>
          <w:tcPr>
            <w:tcW w:w="2037" w:type="dxa"/>
            <w:shd w:val="clear" w:color="auto" w:fill="D9E2F3"/>
          </w:tcPr>
          <w:p>
            <w:pPr>
              <w:pStyle w:val="Compact"/>
              <w:jc w:val="left"/>
            </w:pPr>
            <w:r>
              <w:rPr>
                <w:b/>
                <w:sz w:val="18"/>
              </w:rPr>
              <w:t xml:space="preserve">Meta</w:t>
            </w:r>
          </w:p>
        </w:tc>
        <w:tc>
          <w:tcPr>
            <w:tcW w:w="2272" w:type="dxa"/>
            <w:shd w:val="clear" w:color="auto" w:fill="D9E2F3"/>
          </w:tcPr>
          <w:p>
            <w:pPr>
              <w:pStyle w:val="Compact"/>
              <w:jc w:val="left"/>
            </w:pPr>
            <w:r>
              <w:rPr>
                <w:b/>
                <w:sz w:val="18"/>
              </w:rPr>
              <w:t xml:space="preserve">Requerimiento</w:t>
            </w:r>
          </w:p>
        </w:tc>
        <w:tc>
          <w:tcPr>
            <w:tcW w:w="3609" w:type="dxa"/>
            <w:shd w:val="clear" w:color="auto" w:fill="D9E2F3"/>
          </w:tcPr>
          <w:p>
            <w:pPr>
              <w:pStyle w:val="Compact"/>
              <w:jc w:val="left"/>
            </w:pPr>
            <w:r>
              <w:rPr>
                <w:b/>
                <w:sz w:val="18"/>
              </w:rPr>
              <w:t xml:space="preserve">Cómo se resuelve</w:t>
            </w:r>
          </w:p>
        </w:tc>
      </w:tr>
      <w:tr>
        <w:tc>
          <w:tcPr>
            <w:tcW w:w="2037" w:type="dxa"/>
          </w:tcPr>
          <w:p>
            <w:pPr>
              <w:pStyle w:val="Compact"/>
              <w:jc w:val="left"/>
            </w:pPr>
            <w:r>
              <w:rPr>
                <w:sz w:val="18"/>
              </w:rPr>
              <w:t xml:space="preserve">Seguridad de acceso</w:t>
            </w:r>
          </w:p>
        </w:tc>
        <w:tc>
          <w:tcPr>
            <w:tcW w:w="2272" w:type="dxa"/>
          </w:tcPr>
          <w:p>
            <w:pPr>
              <w:pStyle w:val="Compact"/>
              <w:jc w:val="left"/>
            </w:pPr>
            <w:r>
              <w:rPr>
                <w:sz w:val="18"/>
              </w:rPr>
              <w:t xml:space="preserve">RNF-SEG-01 a RNF-SEG-09</w:t>
            </w:r>
          </w:p>
        </w:tc>
        <w:tc>
          <w:tcPr>
            <w:tcW w:w="3609" w:type="dxa"/>
          </w:tcPr>
          <w:p>
            <w:pPr>
              <w:pStyle w:val="Compact"/>
              <w:jc w:val="left"/>
            </w:pPr>
            <w:r>
              <w:rPr>
                <w:sz w:val="18"/>
              </w:rPr>
              <w:t xml:space="preserve">JWT con vencimiento por inactividad, bloqueo de cuenta, límite de peticiones por IP real, permisos por rol en cada vista y secretos en variables de entorno</w:t>
            </w:r>
          </w:p>
        </w:tc>
      </w:tr>
      <w:tr>
        <w:tc>
          <w:tcPr>
            <w:tcW w:w="2037" w:type="dxa"/>
          </w:tcPr>
          <w:p>
            <w:pPr>
              <w:pStyle w:val="Compact"/>
              <w:jc w:val="left"/>
            </w:pPr>
            <w:r>
              <w:rPr>
                <w:sz w:val="18"/>
              </w:rPr>
              <w:t xml:space="preserve">Alta disponibilidad de datos</w:t>
            </w:r>
          </w:p>
        </w:tc>
        <w:tc>
          <w:tcPr>
            <w:tcW w:w="2272" w:type="dxa"/>
          </w:tcPr>
          <w:p>
            <w:pPr>
              <w:pStyle w:val="Compact"/>
              <w:jc w:val="left"/>
            </w:pPr>
            <w:r>
              <w:rPr>
                <w:sz w:val="18"/>
              </w:rPr>
              <w:t xml:space="preserve">RNF-DIS-01 y RNF-DIS-02</w:t>
            </w:r>
          </w:p>
        </w:tc>
        <w:tc>
          <w:tcPr>
            <w:tcW w:w="3609" w:type="dxa"/>
          </w:tcPr>
          <w:p>
            <w:pPr>
              <w:pStyle w:val="Compact"/>
              <w:jc w:val="left"/>
            </w:pPr>
            <w:r>
              <w:rPr>
                <w:sz w:val="18"/>
              </w:rPr>
              <w:t xml:space="preserve">Base de datos en un InnoDB Cluster de 3 nodos con MySQL Router como único punto de conexión</w:t>
            </w:r>
          </w:p>
        </w:tc>
      </w:tr>
      <w:tr>
        <w:tc>
          <w:tcPr>
            <w:tcW w:w="2037" w:type="dxa"/>
          </w:tcPr>
          <w:p>
            <w:pPr>
              <w:pStyle w:val="Compact"/>
              <w:jc w:val="left"/>
            </w:pPr>
            <w:r>
              <w:rPr>
                <w:sz w:val="18"/>
              </w:rPr>
              <w:t xml:space="preserve">Despliegue mixto</w:t>
            </w:r>
          </w:p>
        </w:tc>
        <w:tc>
          <w:tcPr>
            <w:tcW w:w="2272" w:type="dxa"/>
          </w:tcPr>
          <w:p>
            <w:pPr>
              <w:pStyle w:val="Compact"/>
              <w:jc w:val="left"/>
            </w:pPr>
            <w:r>
              <w:rPr>
                <w:sz w:val="18"/>
              </w:rPr>
              <w:t xml:space="preserve">RNF-DES-01 y RNF-DES-02</w:t>
            </w:r>
          </w:p>
        </w:tc>
        <w:tc>
          <w:tcPr>
            <w:tcW w:w="3609" w:type="dxa"/>
          </w:tcPr>
          <w:p>
            <w:pPr>
              <w:pStyle w:val="Compact"/>
              <w:jc w:val="left"/>
            </w:pPr>
            <w:r>
              <w:rPr>
                <w:sz w:val="18"/>
              </w:rPr>
              <w:t xml:space="preserve">Backend y base de datos on premise, web en la nube y sensores por WiFi y HTTP</w:t>
            </w:r>
          </w:p>
        </w:tc>
      </w:tr>
      <w:tr>
        <w:tc>
          <w:tcPr>
            <w:tcW w:w="2037" w:type="dxa"/>
          </w:tcPr>
          <w:p>
            <w:pPr>
              <w:pStyle w:val="Compact"/>
              <w:jc w:val="left"/>
            </w:pPr>
            <w:r>
              <w:rPr>
                <w:sz w:val="18"/>
              </w:rPr>
              <w:t xml:space="preserve">Calidad</w:t>
            </w:r>
          </w:p>
        </w:tc>
        <w:tc>
          <w:tcPr>
            <w:tcW w:w="2272" w:type="dxa"/>
          </w:tcPr>
          <w:p>
            <w:pPr>
              <w:pStyle w:val="Compact"/>
              <w:jc w:val="left"/>
            </w:pPr>
            <w:r>
              <w:rPr>
                <w:sz w:val="18"/>
              </w:rPr>
              <w:t xml:space="preserve">RNF-CAL-01 y RNF-CAL-02</w:t>
            </w:r>
          </w:p>
        </w:tc>
        <w:tc>
          <w:tcPr>
            <w:tcW w:w="3609" w:type="dxa"/>
          </w:tcPr>
          <w:p>
            <w:pPr>
              <w:pStyle w:val="Compact"/>
              <w:jc w:val="left"/>
            </w:pPr>
            <w:r>
              <w:rPr>
                <w:sz w:val="18"/>
              </w:rPr>
              <w:t xml:space="preserve">Pruebas automáticas en cada app del backend; integración continua pendiente</w:t>
            </w:r>
          </w:p>
        </w:tc>
      </w:tr>
      <w:tr>
        <w:tc>
          <w:tcPr>
            <w:tcW w:w="2037" w:type="dxa"/>
          </w:tcPr>
          <w:p>
            <w:pPr>
              <w:pStyle w:val="Compact"/>
              <w:jc w:val="left"/>
            </w:pPr>
            <w:r>
              <w:rPr>
                <w:sz w:val="18"/>
              </w:rPr>
              <w:t xml:space="preserve">Trazabilidad y datos personales</w:t>
            </w:r>
          </w:p>
        </w:tc>
        <w:tc>
          <w:tcPr>
            <w:tcW w:w="2272" w:type="dxa"/>
          </w:tcPr>
          <w:p>
            <w:pPr>
              <w:pStyle w:val="Compact"/>
              <w:jc w:val="left"/>
            </w:pPr>
            <w:r>
              <w:rPr>
                <w:sz w:val="18"/>
              </w:rPr>
              <w:t xml:space="preserve">RNF-LEG-01 y RF-ACC-01</w:t>
            </w:r>
          </w:p>
        </w:tc>
        <w:tc>
          <w:tcPr>
            <w:tcW w:w="3609" w:type="dxa"/>
          </w:tcPr>
          <w:p>
            <w:pPr>
              <w:pStyle w:val="Compact"/>
              <w:jc w:val="left"/>
            </w:pPr>
            <w:r>
              <w:rPr>
                <w:sz w:val="18"/>
              </w:rPr>
              <w:t xml:space="preserve">Plantillas de huella solo en el PC del lector y registro de cada intento en SICMA</w:t>
            </w:r>
          </w:p>
        </w:tc>
      </w:tr>
      <w:tr>
        <w:tc>
          <w:tcPr>
            <w:tcW w:w="2037" w:type="dxa"/>
          </w:tcPr>
          <w:p>
            <w:pPr>
              <w:pStyle w:val="Compact"/>
              <w:jc w:val="left"/>
            </w:pPr>
            <w:r>
              <w:rPr>
                <w:sz w:val="18"/>
              </w:rPr>
              <w:t xml:space="preserve">Usabilidad</w:t>
            </w:r>
          </w:p>
        </w:tc>
        <w:tc>
          <w:tcPr>
            <w:tcW w:w="2272" w:type="dxa"/>
          </w:tcPr>
          <w:p>
            <w:pPr>
              <w:pStyle w:val="Compact"/>
              <w:jc w:val="left"/>
            </w:pPr>
            <w:r>
              <w:rPr>
                <w:sz w:val="18"/>
              </w:rPr>
              <w:t xml:space="preserve">RNF-USO-01 y RNF-USO-02</w:t>
            </w:r>
          </w:p>
        </w:tc>
        <w:tc>
          <w:tcPr>
            <w:tcW w:w="3609" w:type="dxa"/>
          </w:tcPr>
          <w:p>
            <w:pPr>
              <w:pStyle w:val="Compact"/>
              <w:jc w:val="left"/>
            </w:pPr>
            <w:r>
              <w:rPr>
                <w:sz w:val="18"/>
              </w:rPr>
              <w:t xml:space="preserve">Web y móvil con una sola base de código Angular e Ionic</w:t>
            </w:r>
          </w:p>
        </w:tc>
      </w:tr>
    </w:tbl>
    <w:bookmarkEnd w:id="23"/>
    <w:bookmarkStart w:id="24" w:name="vista-de-escenarios-1"/>
    <w:p>
      <w:pPr>
        <w:pStyle w:val="Heading2"/>
      </w:pPr>
      <w:r>
        <w:t xml:space="preserve">Vista de escenarios (+1)</w:t>
      </w:r>
    </w:p>
    <w:p>
      <w:pPr>
        <w:pStyle w:val="FirstParagraph"/>
        <w:spacing w:line="360" w:lineRule="auto" w:before="160" w:after="0"/>
        <w:ind w:firstLine="709"/>
        <w:jc w:val="both"/>
      </w:pPr>
      <w:r>
        <w:rPr>
          <w:sz w:val="22"/>
        </w:rPr>
        <w:t xml:space="preserve">Los escenarios son los casos de uso de SICMA-CUS que más obligan a la arquitectura a mostrar cómo colaboran sus partes. Se eligieron cinco, uno por cada flujo que cruza más de un componente.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655"/>
        <w:gridCol w:w="2588"/>
        <w:gridCol w:w="2148"/>
        <w:gridCol w:w="1527"/>
      </w:tblGrid>
      <w:tr>
        <w:trPr>
          <w:tblHeader w:val="true"/>
        </w:trPr>
        <w:tc>
          <w:tcPr>
            <w:tcW w:w="1655" w:type="dxa"/>
            <w:shd w:val="clear" w:color="auto" w:fill="D9E2F3"/>
          </w:tcPr>
          <w:p>
            <w:pPr>
              <w:pStyle w:val="Compact"/>
              <w:jc w:val="left"/>
            </w:pPr>
            <w:r>
              <w:rPr>
                <w:b/>
                <w:sz w:val="18"/>
              </w:rPr>
              <w:t xml:space="preserve">Escenario</w:t>
            </w:r>
          </w:p>
        </w:tc>
        <w:tc>
          <w:tcPr>
            <w:tcW w:w="2588" w:type="dxa"/>
            <w:shd w:val="clear" w:color="auto" w:fill="D9E2F3"/>
          </w:tcPr>
          <w:p>
            <w:pPr>
              <w:pStyle w:val="Compact"/>
              <w:jc w:val="left"/>
            </w:pPr>
            <w:r>
              <w:rPr>
                <w:b/>
                <w:sz w:val="18"/>
              </w:rPr>
              <w:t xml:space="preserve">Flujo</w:t>
            </w:r>
          </w:p>
        </w:tc>
        <w:tc>
          <w:tcPr>
            <w:tcW w:w="2148" w:type="dxa"/>
            <w:shd w:val="clear" w:color="auto" w:fill="D9E2F3"/>
          </w:tcPr>
          <w:p>
            <w:pPr>
              <w:pStyle w:val="Compact"/>
              <w:jc w:val="left"/>
            </w:pPr>
            <w:r>
              <w:rPr>
                <w:b/>
                <w:sz w:val="18"/>
              </w:rPr>
              <w:t xml:space="preserve">Componentes que participan</w:t>
            </w:r>
          </w:p>
        </w:tc>
        <w:tc>
          <w:tcPr>
            <w:tcW w:w="1527" w:type="dxa"/>
            <w:shd w:val="clear" w:color="auto" w:fill="D9E2F3"/>
          </w:tcPr>
          <w:p>
            <w:pPr>
              <w:pStyle w:val="Compact"/>
              <w:jc w:val="left"/>
            </w:pPr>
            <w:r>
              <w:rPr>
                <w:b/>
                <w:sz w:val="18"/>
              </w:rPr>
              <w:t xml:space="preserve">Requerimientos</w:t>
            </w:r>
          </w:p>
        </w:tc>
      </w:tr>
      <w:tr>
        <w:tc>
          <w:tcPr>
            <w:tcW w:w="1655" w:type="dxa"/>
          </w:tcPr>
          <w:p>
            <w:pPr>
              <w:pStyle w:val="Compact"/>
              <w:jc w:val="left"/>
            </w:pPr>
            <w:r>
              <w:rPr>
                <w:sz w:val="18"/>
              </w:rPr>
              <w:t xml:space="preserve">E-01 Lectura ambiental y alerta</w:t>
            </w:r>
          </w:p>
        </w:tc>
        <w:tc>
          <w:tcPr>
            <w:tcW w:w="2588" w:type="dxa"/>
          </w:tcPr>
          <w:p>
            <w:pPr>
              <w:pStyle w:val="Compact"/>
              <w:jc w:val="left"/>
            </w:pPr>
            <w:r>
              <w:rPr>
                <w:sz w:val="18"/>
              </w:rPr>
              <w:t xml:space="preserve">El sensor envía una lectura; si supera el umbral de su zona se crea una alerta y se avisa por correo</w:t>
            </w:r>
          </w:p>
        </w:tc>
        <w:tc>
          <w:tcPr>
            <w:tcW w:w="2148" w:type="dxa"/>
          </w:tcPr>
          <w:p>
            <w:pPr>
              <w:pStyle w:val="Compact"/>
              <w:jc w:val="left"/>
            </w:pPr>
            <w:r>
              <w:rPr>
                <w:sz w:val="18"/>
              </w:rPr>
              <w:t xml:space="preserve">ESP32-S3, API, base de datos, correo</w:t>
            </w:r>
          </w:p>
        </w:tc>
        <w:tc>
          <w:tcPr>
            <w:tcW w:w="1527" w:type="dxa"/>
          </w:tcPr>
          <w:p>
            <w:pPr>
              <w:pStyle w:val="Compact"/>
              <w:jc w:val="left"/>
            </w:pPr>
            <w:r>
              <w:rPr>
                <w:sz w:val="18"/>
              </w:rPr>
              <w:t xml:space="preserve">RF-AMB-01 a RF-AMB-05</w:t>
            </w:r>
          </w:p>
        </w:tc>
      </w:tr>
      <w:tr>
        <w:tc>
          <w:tcPr>
            <w:tcW w:w="1655" w:type="dxa"/>
          </w:tcPr>
          <w:p>
            <w:pPr>
              <w:pStyle w:val="Compact"/>
              <w:jc w:val="left"/>
            </w:pPr>
            <w:r>
              <w:rPr>
                <w:sz w:val="18"/>
              </w:rPr>
              <w:t xml:space="preserve">E-02 Estado de servidores</w:t>
            </w:r>
          </w:p>
        </w:tc>
        <w:tc>
          <w:tcPr>
            <w:tcW w:w="2588" w:type="dxa"/>
          </w:tcPr>
          <w:p>
            <w:pPr>
              <w:pStyle w:val="Compact"/>
              <w:jc w:val="left"/>
            </w:pPr>
            <w:r>
              <w:rPr>
                <w:sz w:val="18"/>
              </w:rPr>
              <w:t xml:space="preserve">SICMA consulta a Zabbix cada minuto y recibe avisos de problemas por webhook</w:t>
            </w:r>
          </w:p>
        </w:tc>
        <w:tc>
          <w:tcPr>
            <w:tcW w:w="2148" w:type="dxa"/>
          </w:tcPr>
          <w:p>
            <w:pPr>
              <w:pStyle w:val="Compact"/>
              <w:jc w:val="left"/>
            </w:pPr>
            <w:r>
              <w:rPr>
                <w:sz w:val="18"/>
              </w:rPr>
              <w:t xml:space="preserve">Zabbix, proceso de sincronización, API, base de datos</w:t>
            </w:r>
          </w:p>
        </w:tc>
        <w:tc>
          <w:tcPr>
            <w:tcW w:w="1527" w:type="dxa"/>
          </w:tcPr>
          <w:p>
            <w:pPr>
              <w:pStyle w:val="Compact"/>
              <w:jc w:val="left"/>
            </w:pPr>
            <w:r>
              <w:rPr>
                <w:sz w:val="18"/>
              </w:rPr>
              <w:t xml:space="preserve">RF-INF-01 a RF-INF-03</w:t>
            </w:r>
          </w:p>
        </w:tc>
      </w:tr>
      <w:tr>
        <w:tc>
          <w:tcPr>
            <w:tcW w:w="1655" w:type="dxa"/>
          </w:tcPr>
          <w:p>
            <w:pPr>
              <w:pStyle w:val="Compact"/>
              <w:jc w:val="left"/>
            </w:pPr>
            <w:r>
              <w:rPr>
                <w:sz w:val="18"/>
              </w:rPr>
              <w:t xml:space="preserve">E-03 Intervención</w:t>
            </w:r>
          </w:p>
        </w:tc>
        <w:tc>
          <w:tcPr>
            <w:tcW w:w="2588" w:type="dxa"/>
          </w:tcPr>
          <w:p>
            <w:pPr>
              <w:pStyle w:val="Compact"/>
              <w:jc w:val="left"/>
            </w:pPr>
            <w:r>
              <w:rPr>
                <w:sz w:val="18"/>
              </w:rPr>
              <w:t xml:space="preserve">Se solicita por Forms, la Jefatura aprueba en Teams, el Administrador asigna al técnico y este la ejecuta y la cierra</w:t>
            </w:r>
          </w:p>
        </w:tc>
        <w:tc>
          <w:tcPr>
            <w:tcW w:w="2148" w:type="dxa"/>
          </w:tcPr>
          <w:p>
            <w:pPr>
              <w:pStyle w:val="Compact"/>
              <w:jc w:val="left"/>
            </w:pPr>
            <w:r>
              <w:rPr>
                <w:sz w:val="18"/>
              </w:rPr>
              <w:t xml:space="preserve">Forms, Power Automate, buzón de correo, API, web</w:t>
            </w:r>
          </w:p>
        </w:tc>
        <w:tc>
          <w:tcPr>
            <w:tcW w:w="1527" w:type="dxa"/>
          </w:tcPr>
          <w:p>
            <w:pPr>
              <w:pStyle w:val="Compact"/>
              <w:jc w:val="left"/>
            </w:pPr>
            <w:r>
              <w:rPr>
                <w:sz w:val="18"/>
              </w:rPr>
              <w:t xml:space="preserve">RF-INT-01 a RF-INT-06</w:t>
            </w:r>
          </w:p>
        </w:tc>
      </w:tr>
      <w:tr>
        <w:tc>
          <w:tcPr>
            <w:tcW w:w="1655" w:type="dxa"/>
          </w:tcPr>
          <w:p>
            <w:pPr>
              <w:pStyle w:val="Compact"/>
              <w:jc w:val="left"/>
            </w:pPr>
            <w:r>
              <w:rPr>
                <w:sz w:val="18"/>
              </w:rPr>
              <w:t xml:space="preserve">E-04 Acceso con huella</w:t>
            </w:r>
          </w:p>
        </w:tc>
        <w:tc>
          <w:tcPr>
            <w:tcW w:w="2588" w:type="dxa"/>
          </w:tcPr>
          <w:p>
            <w:pPr>
              <w:pStyle w:val="Compact"/>
              <w:jc w:val="left"/>
            </w:pPr>
            <w:r>
              <w:rPr>
                <w:sz w:val="18"/>
              </w:rPr>
              <w:t xml:space="preserve">El agente del lector informa qué identificador reconoció y SICMA decide y registra el intento</w:t>
            </w:r>
          </w:p>
        </w:tc>
        <w:tc>
          <w:tcPr>
            <w:tcW w:w="2148" w:type="dxa"/>
          </w:tcPr>
          <w:p>
            <w:pPr>
              <w:pStyle w:val="Compact"/>
              <w:jc w:val="left"/>
            </w:pPr>
            <w:r>
              <w:rPr>
                <w:sz w:val="18"/>
              </w:rPr>
              <w:t xml:space="preserve">Lector SecuGen, agente, API, base de datos</w:t>
            </w:r>
          </w:p>
        </w:tc>
        <w:tc>
          <w:tcPr>
            <w:tcW w:w="1527" w:type="dxa"/>
          </w:tcPr>
          <w:p>
            <w:pPr>
              <w:pStyle w:val="Compact"/>
              <w:jc w:val="left"/>
            </w:pPr>
            <w:r>
              <w:rPr>
                <w:sz w:val="18"/>
              </w:rPr>
              <w:t xml:space="preserve">RF-ACC-01 a RF-ACC-03</w:t>
            </w:r>
          </w:p>
        </w:tc>
      </w:tr>
      <w:tr>
        <w:tc>
          <w:tcPr>
            <w:tcW w:w="1655" w:type="dxa"/>
          </w:tcPr>
          <w:p>
            <w:pPr>
              <w:pStyle w:val="Compact"/>
              <w:jc w:val="left"/>
            </w:pPr>
            <w:r>
              <w:rPr>
                <w:sz w:val="18"/>
              </w:rPr>
              <w:t xml:space="preserve">E-05 Caída del nodo primary</w:t>
            </w:r>
          </w:p>
        </w:tc>
        <w:tc>
          <w:tcPr>
            <w:tcW w:w="2588" w:type="dxa"/>
          </w:tcPr>
          <w:p>
            <w:pPr>
              <w:pStyle w:val="Compact"/>
              <w:jc w:val="left"/>
            </w:pPr>
            <w:r>
              <w:rPr>
                <w:sz w:val="18"/>
              </w:rPr>
              <w:t xml:space="preserve">Se baja el nodo primary y el servicio de escritura se recupera en 60 segundos o menos</w:t>
            </w:r>
          </w:p>
        </w:tc>
        <w:tc>
          <w:tcPr>
            <w:tcW w:w="2148" w:type="dxa"/>
          </w:tcPr>
          <w:p>
            <w:pPr>
              <w:pStyle w:val="Compact"/>
              <w:jc w:val="left"/>
            </w:pPr>
            <w:r>
              <w:rPr>
                <w:sz w:val="18"/>
              </w:rPr>
              <w:t xml:space="preserve">Base de datos, MySQL Router, API</w:t>
            </w:r>
          </w:p>
        </w:tc>
        <w:tc>
          <w:tcPr>
            <w:tcW w:w="1527" w:type="dxa"/>
          </w:tcPr>
          <w:p>
            <w:pPr>
              <w:pStyle w:val="Compact"/>
              <w:jc w:val="left"/>
            </w:pPr>
            <w:r>
              <w:rPr>
                <w:sz w:val="18"/>
              </w:rPr>
              <w:t xml:space="preserve">RNF-DIS-02</w:t>
            </w:r>
          </w:p>
        </w:tc>
      </w:tr>
    </w:tbl>
    <w:p>
      <w:pPr>
        <w:pStyle w:val="BodyText"/>
        <w:spacing w:line="360" w:lineRule="auto" w:before="160" w:after="0"/>
        <w:ind w:firstLine="709"/>
        <w:jc w:val="both"/>
      </w:pPr>
      <w:r>
        <w:rPr>
          <w:sz w:val="22"/>
        </w:rPr>
        <w:t xml:space="preserve">Cada escenario se detalla en una vista: E-01, E-03 y E-04 en la vista de procesos, E-05 en la vista física y E-02 en la sección de monitoreo.</w:t>
      </w:r>
    </w:p>
    <w:bookmarkEnd w:id="24"/>
    <w:bookmarkStart w:id="29" w:name="vista-lógica"/>
    <w:p>
      <w:pPr>
        <w:pStyle w:val="Heading2"/>
      </w:pPr>
      <w:r>
        <w:t xml:space="preserve">Vista lógica</w:t>
      </w:r>
    </w:p>
    <w:p>
      <w:pPr>
        <w:pStyle w:val="FirstParagraph"/>
        <w:spacing w:line="360" w:lineRule="auto" w:before="160" w:after="0"/>
        <w:ind w:firstLine="709"/>
        <w:jc w:val="both"/>
      </w:pPr>
      <w:r>
        <w:rPr>
          <w:sz w:val="22"/>
        </w:rPr>
        <w:t xml:space="preserve">La vista lógica muestra las partes en que se divide el sistema y qué responsabilidad tiene cada una. El backend es un monolito modular: un solo proyecto Django dividido en siete apps, cada una dueña de sus modelos y de sus rutas.</w:t>
      </w:r>
    </w:p>
    <w:p>
      <w:pPr>
        <w:pStyle w:val="CaptionedFigure"/>
      </w:pPr>
      <w:r>
        <w:drawing>
          <wp:inline>
            <wp:extent cx="5334000" cy="1170214"/>
            <wp:effectExtent b="0" l="0" r="0" t="0"/>
            <wp:docPr descr="Vista lógica: apps del backend y sus dependencias" title="" id="26" name="Picture"/>
            <a:graphic>
              <a:graphicData uri="http://schemas.openxmlformats.org/drawingml/2006/picture">
                <pic:pic>
                  <pic:nvPicPr>
                    <pic:cNvPr descr="arq/logica.png" id="27" name="Picture"/>
                    <pic:cNvPicPr>
                      <a:picLocks noChangeArrowheads="1" noChangeAspect="1"/>
                    </pic:cNvPicPr>
                  </pic:nvPicPr>
                  <pic:blipFill>
                    <a:blip r:embed="rId25"/>
                    <a:stretch>
                      <a:fillRect/>
                    </a:stretch>
                  </pic:blipFill>
                  <pic:spPr bwMode="auto">
                    <a:xfrm>
                      <a:off x="0" y="0"/>
                      <a:ext cx="5334000" cy="1170214"/>
                    </a:xfrm>
                    <a:prstGeom prst="rect">
                      <a:avLst/>
                    </a:prstGeom>
                    <a:noFill/>
                    <a:ln w="9525">
                      <a:noFill/>
                      <a:headEnd/>
                      <a:tailEnd/>
                    </a:ln>
                  </pic:spPr>
                </pic:pic>
              </a:graphicData>
            </a:graphic>
          </wp:inline>
        </w:drawing>
      </w:r>
    </w:p>
    <w:p>
      <w:pPr>
        <w:pStyle w:val="ImageCaption"/>
      </w:pPr>
      <w:r>
        <w:t xml:space="preserve">Vista lógica: apps del backend y sus dependencias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227"/>
        <w:gridCol w:w="2398"/>
        <w:gridCol w:w="2443"/>
        <w:gridCol w:w="1850"/>
      </w:tblGrid>
      <w:tr>
        <w:trPr>
          <w:tblHeader w:val="true"/>
        </w:trPr>
        <w:tc>
          <w:tcPr>
            <w:tcW w:w="1227" w:type="dxa"/>
            <w:shd w:val="clear" w:color="auto" w:fill="D9E2F3"/>
          </w:tcPr>
          <w:p>
            <w:pPr>
              <w:pStyle w:val="Compact"/>
              <w:jc w:val="left"/>
            </w:pPr>
            <w:r>
              <w:rPr>
                <w:b/>
                <w:sz w:val="18"/>
              </w:rPr>
              <w:t xml:space="preserve">App</w:t>
            </w:r>
          </w:p>
        </w:tc>
        <w:tc>
          <w:tcPr>
            <w:tcW w:w="2398" w:type="dxa"/>
            <w:shd w:val="clear" w:color="auto" w:fill="D9E2F3"/>
          </w:tcPr>
          <w:p>
            <w:pPr>
              <w:pStyle w:val="Compact"/>
              <w:jc w:val="left"/>
            </w:pPr>
            <w:r>
              <w:rPr>
                <w:b/>
                <w:sz w:val="18"/>
              </w:rPr>
              <w:t xml:space="preserve">Responsabilidad</w:t>
            </w:r>
          </w:p>
        </w:tc>
        <w:tc>
          <w:tcPr>
            <w:tcW w:w="2443" w:type="dxa"/>
            <w:shd w:val="clear" w:color="auto" w:fill="D9E2F3"/>
          </w:tcPr>
          <w:p>
            <w:pPr>
              <w:pStyle w:val="Compact"/>
              <w:jc w:val="left"/>
            </w:pPr>
            <w:r>
              <w:rPr>
                <w:b/>
                <w:sz w:val="18"/>
              </w:rPr>
              <w:t xml:space="preserve">Modelos principales</w:t>
            </w:r>
          </w:p>
        </w:tc>
        <w:tc>
          <w:tcPr>
            <w:tcW w:w="1850" w:type="dxa"/>
            <w:shd w:val="clear" w:color="auto" w:fill="D9E2F3"/>
          </w:tcPr>
          <w:p>
            <w:pPr>
              <w:pStyle w:val="Compact"/>
              <w:jc w:val="left"/>
            </w:pPr>
            <w:r>
              <w:rPr>
                <w:b/>
                <w:sz w:val="18"/>
              </w:rPr>
              <w:t xml:space="preserve">Ruta base</w:t>
            </w:r>
          </w:p>
        </w:tc>
      </w:tr>
      <w:tr>
        <w:tc>
          <w:tcPr>
            <w:tcW w:w="1227" w:type="dxa"/>
          </w:tcPr>
          <w:p>
            <w:pPr>
              <w:pStyle w:val="Compact"/>
              <w:jc w:val="left"/>
            </w:pPr>
            <w:r>
              <w:rPr>
                <w:sz w:val="18"/>
              </w:rPr>
              <w:t xml:space="preserve">login</w:t>
            </w:r>
          </w:p>
        </w:tc>
        <w:tc>
          <w:tcPr>
            <w:tcW w:w="2398" w:type="dxa"/>
          </w:tcPr>
          <w:p>
            <w:pPr>
              <w:pStyle w:val="Compact"/>
              <w:jc w:val="left"/>
            </w:pPr>
            <w:r>
              <w:rPr>
                <w:sz w:val="18"/>
              </w:rPr>
              <w:t xml:space="preserve">Cuentas, roles, sesión, política de contraseñas y recuperación</w:t>
            </w:r>
          </w:p>
        </w:tc>
        <w:tc>
          <w:tcPr>
            <w:tcW w:w="2443" w:type="dxa"/>
          </w:tcPr>
          <w:p>
            <w:pPr>
              <w:pStyle w:val="Compact"/>
              <w:jc w:val="left"/>
            </w:pPr>
            <w:r>
              <w:rPr>
                <w:sz w:val="18"/>
              </w:rPr>
              <w:t xml:space="preserve">UserSessionSettings, PasswordPolicy</w:t>
            </w:r>
          </w:p>
        </w:tc>
        <w:tc>
          <w:tcPr>
            <w:tcW w:w="1850" w:type="dxa"/>
          </w:tcPr>
          <w:p>
            <w:pPr>
              <w:pStyle w:val="Compact"/>
              <w:jc w:val="left"/>
            </w:pPr>
            <w:r>
              <w:rPr>
                <w:sz w:val="18"/>
              </w:rPr>
              <w:t xml:space="preserve">/api/auth/</w:t>
            </w:r>
          </w:p>
        </w:tc>
      </w:tr>
      <w:tr>
        <w:tc>
          <w:tcPr>
            <w:tcW w:w="1227" w:type="dxa"/>
          </w:tcPr>
          <w:p>
            <w:pPr>
              <w:pStyle w:val="Compact"/>
              <w:jc w:val="left"/>
            </w:pPr>
            <w:r>
              <w:rPr>
                <w:sz w:val="18"/>
              </w:rPr>
              <w:t xml:space="preserve">mediciones</w:t>
            </w:r>
          </w:p>
        </w:tc>
        <w:tc>
          <w:tcPr>
            <w:tcW w:w="2398" w:type="dxa"/>
          </w:tcPr>
          <w:p>
            <w:pPr>
              <w:pStyle w:val="Compact"/>
              <w:jc w:val="left"/>
            </w:pPr>
            <w:r>
              <w:rPr>
                <w:sz w:val="18"/>
              </w:rPr>
              <w:t xml:space="preserve">Sensores, lecturas, zonas (ubicaciones) y umbrales</w:t>
            </w:r>
          </w:p>
        </w:tc>
        <w:tc>
          <w:tcPr>
            <w:tcW w:w="2443" w:type="dxa"/>
          </w:tcPr>
          <w:p>
            <w:pPr>
              <w:pStyle w:val="Compact"/>
              <w:jc w:val="left"/>
            </w:pPr>
            <w:r>
              <w:rPr>
                <w:sz w:val="18"/>
              </w:rPr>
              <w:t xml:space="preserve">Sensor, Medicion, Ubicacion, UmbralAmbiental</w:t>
            </w:r>
          </w:p>
        </w:tc>
        <w:tc>
          <w:tcPr>
            <w:tcW w:w="1850" w:type="dxa"/>
          </w:tcPr>
          <w:p>
            <w:pPr>
              <w:pStyle w:val="Compact"/>
              <w:jc w:val="left"/>
            </w:pPr>
            <w:r>
              <w:rPr>
                <w:sz w:val="18"/>
              </w:rPr>
              <w:t xml:space="preserve">/api/mediciones/, /api/sensores/, /api/ubicaciones/, /api/umbrales/</w:t>
            </w:r>
          </w:p>
        </w:tc>
      </w:tr>
      <w:tr>
        <w:tc>
          <w:tcPr>
            <w:tcW w:w="1227" w:type="dxa"/>
          </w:tcPr>
          <w:p>
            <w:pPr>
              <w:pStyle w:val="Compact"/>
              <w:jc w:val="left"/>
            </w:pPr>
            <w:r>
              <w:rPr>
                <w:sz w:val="18"/>
              </w:rPr>
              <w:t xml:space="preserve">inventario</w:t>
            </w:r>
          </w:p>
        </w:tc>
        <w:tc>
          <w:tcPr>
            <w:tcW w:w="2398" w:type="dxa"/>
          </w:tcPr>
          <w:p>
            <w:pPr>
              <w:pStyle w:val="Compact"/>
              <w:jc w:val="left"/>
            </w:pPr>
            <w:r>
              <w:rPr>
                <w:sz w:val="18"/>
              </w:rPr>
              <w:t xml:space="preserve">Activos, tipos, estados e historial</w:t>
            </w:r>
          </w:p>
        </w:tc>
        <w:tc>
          <w:tcPr>
            <w:tcW w:w="2443" w:type="dxa"/>
          </w:tcPr>
          <w:p>
            <w:pPr>
              <w:pStyle w:val="Compact"/>
              <w:jc w:val="left"/>
            </w:pPr>
            <w:r>
              <w:rPr>
                <w:sz w:val="18"/>
              </w:rPr>
              <w:t xml:space="preserve">Activo, TipoActivo, EstadoActivo, HistorialActivo</w:t>
            </w:r>
          </w:p>
        </w:tc>
        <w:tc>
          <w:tcPr>
            <w:tcW w:w="1850" w:type="dxa"/>
          </w:tcPr>
          <w:p>
            <w:pPr>
              <w:pStyle w:val="Compact"/>
              <w:jc w:val="left"/>
            </w:pPr>
            <w:r>
              <w:rPr>
                <w:sz w:val="18"/>
              </w:rPr>
              <w:t xml:space="preserve">/api/activos/</w:t>
            </w:r>
          </w:p>
        </w:tc>
      </w:tr>
      <w:tr>
        <w:tc>
          <w:tcPr>
            <w:tcW w:w="1227" w:type="dxa"/>
          </w:tcPr>
          <w:p>
            <w:pPr>
              <w:pStyle w:val="Compact"/>
              <w:jc w:val="left"/>
            </w:pPr>
            <w:r>
              <w:rPr>
                <w:sz w:val="18"/>
              </w:rPr>
              <w:t xml:space="preserve">alertas</w:t>
            </w:r>
          </w:p>
        </w:tc>
        <w:tc>
          <w:tcPr>
            <w:tcW w:w="2398" w:type="dxa"/>
          </w:tcPr>
          <w:p>
            <w:pPr>
              <w:pStyle w:val="Compact"/>
              <w:jc w:val="left"/>
            </w:pPr>
            <w:r>
              <w:rPr>
                <w:sz w:val="18"/>
              </w:rPr>
              <w:t xml:space="preserve">Alertas, reglas, avisos y su gestión</w:t>
            </w:r>
          </w:p>
        </w:tc>
        <w:tc>
          <w:tcPr>
            <w:tcW w:w="2443" w:type="dxa"/>
          </w:tcPr>
          <w:p>
            <w:pPr>
              <w:pStyle w:val="Compact"/>
              <w:jc w:val="left"/>
            </w:pPr>
            <w:r>
              <w:rPr>
                <w:sz w:val="18"/>
              </w:rPr>
              <w:t xml:space="preserve">Alerta, ReglaAlerta, Notificacion, GestionAlerta, HostProblemaZabbix</w:t>
            </w:r>
          </w:p>
        </w:tc>
        <w:tc>
          <w:tcPr>
            <w:tcW w:w="1850" w:type="dxa"/>
          </w:tcPr>
          <w:p>
            <w:pPr>
              <w:pStyle w:val="Compact"/>
              <w:jc w:val="left"/>
            </w:pPr>
            <w:r>
              <w:rPr>
                <w:sz w:val="18"/>
              </w:rPr>
              <w:t xml:space="preserve">/api/alertas/</w:t>
            </w:r>
          </w:p>
        </w:tc>
      </w:tr>
      <w:tr>
        <w:tc>
          <w:tcPr>
            <w:tcW w:w="1227" w:type="dxa"/>
          </w:tcPr>
          <w:p>
            <w:pPr>
              <w:pStyle w:val="Compact"/>
              <w:jc w:val="left"/>
            </w:pPr>
            <w:r>
              <w:rPr>
                <w:sz w:val="18"/>
              </w:rPr>
              <w:t xml:space="preserve">infraestructura</w:t>
            </w:r>
          </w:p>
        </w:tc>
        <w:tc>
          <w:tcPr>
            <w:tcW w:w="2398" w:type="dxa"/>
          </w:tcPr>
          <w:p>
            <w:pPr>
              <w:pStyle w:val="Compact"/>
              <w:jc w:val="left"/>
            </w:pPr>
            <w:r>
              <w:rPr>
                <w:sz w:val="18"/>
              </w:rPr>
              <w:t xml:space="preserve">Estado de servidores desde Zabbix y su webhook</w:t>
            </w:r>
          </w:p>
        </w:tc>
        <w:tc>
          <w:tcPr>
            <w:tcW w:w="2443" w:type="dxa"/>
          </w:tcPr>
          <w:p>
            <w:pPr>
              <w:pStyle w:val="Compact"/>
              <w:jc w:val="left"/>
            </w:pPr>
            <w:r>
              <w:rPr>
                <w:sz w:val="18"/>
              </w:rPr>
              <w:t xml:space="preserve">EstadoInfraestructura</w:t>
            </w:r>
          </w:p>
        </w:tc>
        <w:tc>
          <w:tcPr>
            <w:tcW w:w="1850" w:type="dxa"/>
          </w:tcPr>
          <w:p>
            <w:pPr>
              <w:pStyle w:val="Compact"/>
              <w:jc w:val="left"/>
            </w:pPr>
            <w:r>
              <w:rPr>
                <w:sz w:val="18"/>
              </w:rPr>
              <w:t xml:space="preserve">/api/infraestructura/, /api/integraciones/zabbix/webhook/</w:t>
            </w:r>
          </w:p>
        </w:tc>
      </w:tr>
      <w:tr>
        <w:tc>
          <w:tcPr>
            <w:tcW w:w="1227" w:type="dxa"/>
          </w:tcPr>
          <w:p>
            <w:pPr>
              <w:pStyle w:val="Compact"/>
              <w:jc w:val="left"/>
            </w:pPr>
            <w:r>
              <w:rPr>
                <w:sz w:val="18"/>
              </w:rPr>
              <w:t xml:space="preserve">intervenciones</w:t>
            </w:r>
          </w:p>
        </w:tc>
        <w:tc>
          <w:tcPr>
            <w:tcW w:w="2398" w:type="dxa"/>
          </w:tcPr>
          <w:p>
            <w:pPr>
              <w:pStyle w:val="Compact"/>
              <w:jc w:val="left"/>
            </w:pPr>
            <w:r>
              <w:rPr>
                <w:sz w:val="18"/>
              </w:rPr>
              <w:t xml:space="preserve">Ciclo de vida de cada intervención y su calendario</w:t>
            </w:r>
          </w:p>
        </w:tc>
        <w:tc>
          <w:tcPr>
            <w:tcW w:w="2443" w:type="dxa"/>
          </w:tcPr>
          <w:p>
            <w:pPr>
              <w:pStyle w:val="Compact"/>
              <w:jc w:val="left"/>
            </w:pPr>
            <w:r>
              <w:rPr>
                <w:sz w:val="18"/>
              </w:rPr>
              <w:t xml:space="preserve">Intervencion, DecisionIntervencion, IntervencionActivo, IntervencionPersona</w:t>
            </w:r>
          </w:p>
        </w:tc>
        <w:tc>
          <w:tcPr>
            <w:tcW w:w="1850" w:type="dxa"/>
          </w:tcPr>
          <w:p>
            <w:pPr>
              <w:pStyle w:val="Compact"/>
              <w:jc w:val="left"/>
            </w:pPr>
            <w:r>
              <w:rPr>
                <w:sz w:val="18"/>
              </w:rPr>
              <w:t xml:space="preserve">/api/intervenciones/</w:t>
            </w:r>
          </w:p>
        </w:tc>
      </w:tr>
      <w:tr>
        <w:tc>
          <w:tcPr>
            <w:tcW w:w="1227" w:type="dxa"/>
          </w:tcPr>
          <w:p>
            <w:pPr>
              <w:pStyle w:val="Compact"/>
              <w:jc w:val="left"/>
            </w:pPr>
            <w:r>
              <w:rPr>
                <w:sz w:val="18"/>
              </w:rPr>
              <w:t xml:space="preserve">accesos</w:t>
            </w:r>
          </w:p>
        </w:tc>
        <w:tc>
          <w:tcPr>
            <w:tcW w:w="2398" w:type="dxa"/>
          </w:tcPr>
          <w:p>
            <w:pPr>
              <w:pStyle w:val="Compact"/>
              <w:jc w:val="left"/>
            </w:pPr>
            <w:r>
              <w:rPr>
                <w:sz w:val="18"/>
              </w:rPr>
              <w:t xml:space="preserve">Personas autorizadas, permisos, enrolamiento y registro de intentos</w:t>
            </w:r>
          </w:p>
        </w:tc>
        <w:tc>
          <w:tcPr>
            <w:tcW w:w="2443" w:type="dxa"/>
          </w:tcPr>
          <w:p>
            <w:pPr>
              <w:pStyle w:val="Compact"/>
              <w:jc w:val="left"/>
            </w:pPr>
            <w:r>
              <w:rPr>
                <w:sz w:val="18"/>
              </w:rPr>
              <w:t xml:space="preserve">PersonaAutorizada, PuntoAcceso, PermisoAcceso, EventoAcceso, SolicitudEnrolamiento, SolicitudVerificacion</w:t>
            </w:r>
          </w:p>
        </w:tc>
        <w:tc>
          <w:tcPr>
            <w:tcW w:w="1850" w:type="dxa"/>
          </w:tcPr>
          <w:p>
            <w:pPr>
              <w:pStyle w:val="Compact"/>
              <w:jc w:val="left"/>
            </w:pPr>
            <w:r>
              <w:rPr>
                <w:sz w:val="18"/>
              </w:rPr>
              <w:t xml:space="preserve">/api/accesos/</w:t>
            </w:r>
          </w:p>
        </w:tc>
      </w:tr>
    </w:tbl>
    <w:p>
      <w:pPr>
        <w:pStyle w:val="BodyText"/>
        <w:spacing w:line="360" w:lineRule="auto" w:before="160" w:after="0"/>
        <w:ind w:firstLine="709"/>
        <w:jc w:val="both"/>
      </w:pPr>
      <w:r>
        <w:rPr>
          <w:sz w:val="22"/>
        </w:rPr>
        <w:t xml:space="preserve">Las dependencias entre apps son pocas y van en un solo sentido. mediciones crea alertas cuando una lectura supera un umbral, intervenciones vincula activos del inventario y exige la verificación de huella de accesos cuando corresponde. Ninguna app lee las tablas de otra sin pasar por sus modelos o su servicio.</w:t>
      </w:r>
    </w:p>
    <w:bookmarkStart w:id="28" w:name="roles-y-permisos"/>
    <w:p>
      <w:pPr>
        <w:pStyle w:val="Heading3"/>
      </w:pPr>
      <w:r>
        <w:t xml:space="preserve">Roles y permisos</w:t>
      </w:r>
    </w:p>
    <w:p>
      <w:pPr>
        <w:pStyle w:val="FirstParagraph"/>
        <w:spacing w:line="360" w:lineRule="auto" w:before="160" w:after="0"/>
        <w:ind w:firstLine="709"/>
        <w:jc w:val="both"/>
      </w:pPr>
      <w:r>
        <w:rPr>
          <w:sz w:val="22"/>
        </w:rPr>
        <w:t xml:space="preserve">Cada vista declara los roles que pueden usarla. Los grupos de usuario del backend son Administrador, Administrador Privilegiado, Jefatura, Técnico, Auditor y Contratistas. El Administrador Privilegiado es el único que gestiona cuentas de administración y la política de seguridad de sesión.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573"/>
        <w:gridCol w:w="4346"/>
      </w:tblGrid>
      <w:tr>
        <w:trPr>
          <w:tblHeader w:val="true"/>
        </w:trPr>
        <w:tc>
          <w:tcPr>
            <w:tcW w:w="3573" w:type="dxa"/>
            <w:shd w:val="clear" w:color="auto" w:fill="D9E2F3"/>
          </w:tcPr>
          <w:p>
            <w:pPr>
              <w:pStyle w:val="Compact"/>
              <w:jc w:val="left"/>
            </w:pPr>
            <w:r>
              <w:rPr>
                <w:b/>
                <w:sz w:val="18"/>
              </w:rPr>
              <w:t xml:space="preserve">Función</w:t>
            </w:r>
          </w:p>
        </w:tc>
        <w:tc>
          <w:tcPr>
            <w:tcW w:w="4346" w:type="dxa"/>
            <w:shd w:val="clear" w:color="auto" w:fill="D9E2F3"/>
          </w:tcPr>
          <w:p>
            <w:pPr>
              <w:pStyle w:val="Compact"/>
              <w:jc w:val="left"/>
            </w:pPr>
            <w:r>
              <w:rPr>
                <w:b/>
                <w:sz w:val="18"/>
              </w:rPr>
              <w:t xml:space="preserve">Roles permitidos</w:t>
            </w:r>
          </w:p>
        </w:tc>
      </w:tr>
      <w:tr>
        <w:tc>
          <w:tcPr>
            <w:tcW w:w="3573" w:type="dxa"/>
          </w:tcPr>
          <w:p>
            <w:pPr>
              <w:pStyle w:val="Compact"/>
              <w:jc w:val="left"/>
            </w:pPr>
            <w:r>
              <w:rPr>
                <w:sz w:val="18"/>
              </w:rPr>
              <w:t xml:space="preserve">Consultar monitoreo, activos e infraestructura</w:t>
            </w:r>
          </w:p>
        </w:tc>
        <w:tc>
          <w:tcPr>
            <w:tcW w:w="4346" w:type="dxa"/>
          </w:tcPr>
          <w:p>
            <w:pPr>
              <w:pStyle w:val="Compact"/>
              <w:jc w:val="left"/>
            </w:pPr>
            <w:r>
              <w:rPr>
                <w:sz w:val="18"/>
              </w:rPr>
              <w:t xml:space="preserve">Administrador, Administrador Privilegiado, Jefatura, Técnico, Auditor</w:t>
            </w:r>
          </w:p>
        </w:tc>
      </w:tr>
      <w:tr>
        <w:tc>
          <w:tcPr>
            <w:tcW w:w="3573" w:type="dxa"/>
          </w:tcPr>
          <w:p>
            <w:pPr>
              <w:pStyle w:val="Compact"/>
              <w:jc w:val="left"/>
            </w:pPr>
            <w:r>
              <w:rPr>
                <w:sz w:val="18"/>
              </w:rPr>
              <w:t xml:space="preserve">Mantener catálogos, umbrales y sensores</w:t>
            </w:r>
          </w:p>
        </w:tc>
        <w:tc>
          <w:tcPr>
            <w:tcW w:w="4346" w:type="dxa"/>
          </w:tcPr>
          <w:p>
            <w:pPr>
              <w:pStyle w:val="Compact"/>
              <w:jc w:val="left"/>
            </w:pPr>
            <w:r>
              <w:rPr>
                <w:sz w:val="18"/>
              </w:rPr>
              <w:t xml:space="preserve">Administrador, Administrador Privilegiado</w:t>
            </w:r>
          </w:p>
        </w:tc>
      </w:tr>
      <w:tr>
        <w:tc>
          <w:tcPr>
            <w:tcW w:w="3573" w:type="dxa"/>
          </w:tcPr>
          <w:p>
            <w:pPr>
              <w:pStyle w:val="Compact"/>
              <w:jc w:val="left"/>
            </w:pPr>
            <w:r>
              <w:rPr>
                <w:sz w:val="18"/>
              </w:rPr>
              <w:t xml:space="preserve">Registrar y editar activos</w:t>
            </w:r>
          </w:p>
        </w:tc>
        <w:tc>
          <w:tcPr>
            <w:tcW w:w="4346" w:type="dxa"/>
          </w:tcPr>
          <w:p>
            <w:pPr>
              <w:pStyle w:val="Compact"/>
              <w:jc w:val="left"/>
            </w:pPr>
            <w:r>
              <w:rPr>
                <w:sz w:val="18"/>
              </w:rPr>
              <w:t xml:space="preserve">Los anteriores y Técnico</w:t>
            </w:r>
          </w:p>
        </w:tc>
      </w:tr>
      <w:tr>
        <w:tc>
          <w:tcPr>
            <w:tcW w:w="3573" w:type="dxa"/>
          </w:tcPr>
          <w:p>
            <w:pPr>
              <w:pStyle w:val="Compact"/>
              <w:jc w:val="left"/>
            </w:pPr>
            <w:r>
              <w:rPr>
                <w:sz w:val="18"/>
              </w:rPr>
              <w:t xml:space="preserve">Reconocer y cerrar alertas</w:t>
            </w:r>
          </w:p>
        </w:tc>
        <w:tc>
          <w:tcPr>
            <w:tcW w:w="4346" w:type="dxa"/>
          </w:tcPr>
          <w:p>
            <w:pPr>
              <w:pStyle w:val="Compact"/>
              <w:jc w:val="left"/>
            </w:pPr>
            <w:r>
              <w:rPr>
                <w:sz w:val="18"/>
              </w:rPr>
              <w:t xml:space="preserve">Administrador, Administrador Privilegiado, Técnico</w:t>
            </w:r>
          </w:p>
        </w:tc>
      </w:tr>
      <w:tr>
        <w:tc>
          <w:tcPr>
            <w:tcW w:w="3573" w:type="dxa"/>
          </w:tcPr>
          <w:p>
            <w:pPr>
              <w:pStyle w:val="Compact"/>
              <w:jc w:val="left"/>
            </w:pPr>
            <w:r>
              <w:rPr>
                <w:sz w:val="18"/>
              </w:rPr>
              <w:t xml:space="preserve">Consultar el registro de accesos</w:t>
            </w:r>
          </w:p>
        </w:tc>
        <w:tc>
          <w:tcPr>
            <w:tcW w:w="4346" w:type="dxa"/>
          </w:tcPr>
          <w:p>
            <w:pPr>
              <w:pStyle w:val="Compact"/>
              <w:jc w:val="left"/>
            </w:pPr>
            <w:r>
              <w:rPr>
                <w:sz w:val="18"/>
              </w:rPr>
              <w:t xml:space="preserve">Administrador, Administrador Privilegiado, Jefatura, Auditor</w:t>
            </w:r>
          </w:p>
        </w:tc>
      </w:tr>
      <w:tr>
        <w:tc>
          <w:tcPr>
            <w:tcW w:w="3573" w:type="dxa"/>
          </w:tcPr>
          <w:p>
            <w:pPr>
              <w:pStyle w:val="Compact"/>
              <w:jc w:val="left"/>
            </w:pPr>
            <w:r>
              <w:rPr>
                <w:sz w:val="18"/>
              </w:rPr>
              <w:t xml:space="preserve">Enrolar y habilitar personal externo</w:t>
            </w:r>
          </w:p>
        </w:tc>
        <w:tc>
          <w:tcPr>
            <w:tcW w:w="4346" w:type="dxa"/>
          </w:tcPr>
          <w:p>
            <w:pPr>
              <w:pStyle w:val="Compact"/>
              <w:jc w:val="left"/>
            </w:pPr>
            <w:r>
              <w:rPr>
                <w:sz w:val="18"/>
              </w:rPr>
              <w:t xml:space="preserve">Administrador, Administrador Privilegiado, Contratistas</w:t>
            </w:r>
          </w:p>
        </w:tc>
      </w:tr>
      <w:tr>
        <w:tc>
          <w:tcPr>
            <w:tcW w:w="3573" w:type="dxa"/>
          </w:tcPr>
          <w:p>
            <w:pPr>
              <w:pStyle w:val="Compact"/>
              <w:jc w:val="left"/>
            </w:pPr>
            <w:r>
              <w:rPr>
                <w:sz w:val="18"/>
              </w:rPr>
              <w:t xml:space="preserve">Cancelar una intervención</w:t>
            </w:r>
          </w:p>
        </w:tc>
        <w:tc>
          <w:tcPr>
            <w:tcW w:w="4346" w:type="dxa"/>
          </w:tcPr>
          <w:p>
            <w:pPr>
              <w:pStyle w:val="Compact"/>
              <w:jc w:val="left"/>
            </w:pPr>
            <w:r>
              <w:rPr>
                <w:sz w:val="18"/>
              </w:rPr>
              <w:t xml:space="preserve">Administrador, Administrador Privilegiado, Jefatura</w:t>
            </w:r>
          </w:p>
        </w:tc>
      </w:tr>
    </w:tbl>
    <w:p>
      <w:pPr>
        <w:pStyle w:val="BodyText"/>
        <w:spacing w:line="360" w:lineRule="auto" w:before="160" w:after="0"/>
        <w:ind w:firstLine="709"/>
        <w:jc w:val="both"/>
      </w:pPr>
      <w:r>
        <w:rPr>
          <w:sz w:val="22"/>
        </w:rPr>
        <w:t xml:space="preserve">La app móvil recibe un token de solo lectura (canal</w:t>
      </w:r>
      <w:r>
        <w:rPr>
          <w:sz w:val="22"/>
        </w:rPr>
        <w:t xml:space="preserve"> </w:t>
      </w:r>
      <w:r>
        <w:rPr>
          <w:sz w:val="22"/>
        </w:rPr>
        <w:t xml:space="preserve">“</w:t>
      </w:r>
      <w:r>
        <w:rPr>
          <w:sz w:val="22"/>
        </w:rPr>
        <w:t xml:space="preserve">móvil</w:t>
      </w:r>
      <w:r>
        <w:rPr>
          <w:sz w:val="22"/>
        </w:rPr>
        <w:t xml:space="preserve">”</w:t>
      </w:r>
      <w:r>
        <w:rPr>
          <w:sz w:val="22"/>
        </w:rPr>
        <w:t xml:space="preserve">) y la API rechaza las escrituras que vengan con él, como pide RF-PLT-02.</w:t>
      </w:r>
    </w:p>
    <w:bookmarkEnd w:id="28"/>
    <w:bookmarkEnd w:id="29"/>
    <w:bookmarkStart w:id="39" w:name="vista-de-procesos"/>
    <w:p>
      <w:pPr>
        <w:pStyle w:val="Heading2"/>
      </w:pPr>
      <w:r>
        <w:t xml:space="preserve">Vista de procesos</w:t>
      </w:r>
    </w:p>
    <w:p>
      <w:pPr>
        <w:pStyle w:val="FirstParagraph"/>
        <w:spacing w:line="360" w:lineRule="auto" w:before="160" w:after="0"/>
        <w:ind w:firstLine="709"/>
        <w:jc w:val="both"/>
      </w:pPr>
      <w:r>
        <w:rPr>
          <w:sz w:val="22"/>
        </w:rPr>
        <w:t xml:space="preserve">La vista de procesos muestra qué se ejecuta en paralelo y cómo se comunican los procesos. En el prototipo hay cuatro procesos de larga duración, que</w:t>
      </w:r>
      <w:r>
        <w:rPr>
          <w:sz w:val="22"/>
        </w:rPr>
        <w:t xml:space="preserve"> </w:t>
      </w:r>
      <w:r>
        <w:rPr>
          <w:rStyle w:val="VerbatimChar"/>
          <w:sz w:val="22"/>
        </w:rPr>
        <w:t xml:space="preserve">iniciar_sicma.ps1</w:t>
      </w:r>
      <w:r>
        <w:rPr>
          <w:sz w:val="22"/>
        </w:rPr>
        <w:t xml:space="preserve"> </w:t>
      </w:r>
      <w:r>
        <w:rPr>
          <w:sz w:val="22"/>
        </w:rPr>
        <w:t xml:space="preserve">abre cada uno en su ventana: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39"/>
        <w:gridCol w:w="3702"/>
        <w:gridCol w:w="1878"/>
      </w:tblGrid>
      <w:tr>
        <w:trPr>
          <w:tblHeader w:val="true"/>
        </w:trPr>
        <w:tc>
          <w:tcPr>
            <w:tcW w:w="2339" w:type="dxa"/>
            <w:shd w:val="clear" w:color="auto" w:fill="D9E2F3"/>
          </w:tcPr>
          <w:p>
            <w:pPr>
              <w:pStyle w:val="Compact"/>
              <w:jc w:val="left"/>
            </w:pPr>
            <w:r>
              <w:rPr>
                <w:b/>
                <w:sz w:val="18"/>
              </w:rPr>
              <w:t xml:space="preserve">Proceso</w:t>
            </w:r>
          </w:p>
        </w:tc>
        <w:tc>
          <w:tcPr>
            <w:tcW w:w="3702" w:type="dxa"/>
            <w:shd w:val="clear" w:color="auto" w:fill="D9E2F3"/>
          </w:tcPr>
          <w:p>
            <w:pPr>
              <w:pStyle w:val="Compact"/>
              <w:jc w:val="left"/>
            </w:pPr>
            <w:r>
              <w:rPr>
                <w:b/>
                <w:sz w:val="18"/>
              </w:rPr>
              <w:t xml:space="preserve">Qué hace</w:t>
            </w:r>
          </w:p>
        </w:tc>
        <w:tc>
          <w:tcPr>
            <w:tcW w:w="1878" w:type="dxa"/>
            <w:shd w:val="clear" w:color="auto" w:fill="D9E2F3"/>
          </w:tcPr>
          <w:p>
            <w:pPr>
              <w:pStyle w:val="Compact"/>
              <w:jc w:val="left"/>
            </w:pPr>
            <w:r>
              <w:rPr>
                <w:b/>
                <w:sz w:val="18"/>
              </w:rPr>
              <w:t xml:space="preserve">Frecuencia</w:t>
            </w:r>
          </w:p>
        </w:tc>
      </w:tr>
      <w:tr>
        <w:tc>
          <w:tcPr>
            <w:tcW w:w="2339" w:type="dxa"/>
          </w:tcPr>
          <w:p>
            <w:pPr>
              <w:pStyle w:val="Compact"/>
              <w:jc w:val="left"/>
            </w:pPr>
            <w:r>
              <w:rPr>
                <w:sz w:val="18"/>
              </w:rPr>
              <w:t xml:space="preserve">API (waitress, 8 hilos, puerto 8000)</w:t>
            </w:r>
          </w:p>
        </w:tc>
        <w:tc>
          <w:tcPr>
            <w:tcW w:w="3702" w:type="dxa"/>
          </w:tcPr>
          <w:p>
            <w:pPr>
              <w:pStyle w:val="Compact"/>
              <w:jc w:val="left"/>
            </w:pPr>
            <w:r>
              <w:rPr>
                <w:sz w:val="18"/>
              </w:rPr>
              <w:t xml:space="preserve">Atiende la web, la app móvil, los sensores y el agente del lector</w:t>
            </w:r>
          </w:p>
        </w:tc>
        <w:tc>
          <w:tcPr>
            <w:tcW w:w="1878" w:type="dxa"/>
          </w:tcPr>
          <w:p>
            <w:pPr>
              <w:pStyle w:val="Compact"/>
              <w:jc w:val="left"/>
            </w:pPr>
            <w:r>
              <w:rPr>
                <w:sz w:val="18"/>
              </w:rPr>
              <w:t xml:space="preserve">Continua</w:t>
            </w:r>
          </w:p>
        </w:tc>
      </w:tr>
      <w:tr>
        <w:tc>
          <w:tcPr>
            <w:tcW w:w="2339" w:type="dxa"/>
          </w:tcPr>
          <w:p>
            <w:pPr>
              <w:pStyle w:val="Compact"/>
              <w:jc w:val="left"/>
            </w:pPr>
            <w:r>
              <w:rPr>
                <w:rStyle w:val="VerbatimChar"/>
                <w:sz w:val="18"/>
              </w:rPr>
              <w:t xml:space="preserve">sincronizar_zabbix</w:t>
            </w:r>
          </w:p>
        </w:tc>
        <w:tc>
          <w:tcPr>
            <w:tcW w:w="3702" w:type="dxa"/>
          </w:tcPr>
          <w:p>
            <w:pPr>
              <w:pStyle w:val="Compact"/>
              <w:jc w:val="left"/>
            </w:pPr>
            <w:r>
              <w:rPr>
                <w:sz w:val="18"/>
              </w:rPr>
              <w:t xml:space="preserve">Consulta a Zabbix y concilia problemas que el webhook no alcanzó a avisar</w:t>
            </w:r>
          </w:p>
        </w:tc>
        <w:tc>
          <w:tcPr>
            <w:tcW w:w="1878" w:type="dxa"/>
          </w:tcPr>
          <w:p>
            <w:pPr>
              <w:pStyle w:val="Compact"/>
              <w:jc w:val="left"/>
            </w:pPr>
            <w:r>
              <w:rPr>
                <w:sz w:val="18"/>
              </w:rPr>
              <w:t xml:space="preserve">Cada 60 segundos</w:t>
            </w:r>
          </w:p>
        </w:tc>
      </w:tr>
      <w:tr>
        <w:tc>
          <w:tcPr>
            <w:tcW w:w="2339" w:type="dxa"/>
          </w:tcPr>
          <w:p>
            <w:pPr>
              <w:pStyle w:val="Compact"/>
              <w:jc w:val="left"/>
            </w:pPr>
            <w:r>
              <w:rPr>
                <w:rStyle w:val="VerbatimChar"/>
                <w:sz w:val="18"/>
              </w:rPr>
              <w:t xml:space="preserve">procesar_intervenciones</w:t>
            </w:r>
          </w:p>
        </w:tc>
        <w:tc>
          <w:tcPr>
            <w:tcW w:w="3702" w:type="dxa"/>
          </w:tcPr>
          <w:p>
            <w:pPr>
              <w:pStyle w:val="Compact"/>
              <w:jc w:val="left"/>
            </w:pPr>
            <w:r>
              <w:rPr>
                <w:sz w:val="18"/>
              </w:rPr>
              <w:t xml:space="preserve">Lee el buzón de correo y registra solicitudes y decisiones de intervenciones</w:t>
            </w:r>
          </w:p>
        </w:tc>
        <w:tc>
          <w:tcPr>
            <w:tcW w:w="1878" w:type="dxa"/>
          </w:tcPr>
          <w:p>
            <w:pPr>
              <w:pStyle w:val="Compact"/>
              <w:jc w:val="left"/>
            </w:pPr>
            <w:r>
              <w:rPr>
                <w:sz w:val="18"/>
              </w:rPr>
              <w:t xml:space="preserve">Cada 60 segundos</w:t>
            </w:r>
          </w:p>
        </w:tc>
      </w:tr>
      <w:tr>
        <w:tc>
          <w:tcPr>
            <w:tcW w:w="2339" w:type="dxa"/>
          </w:tcPr>
          <w:p>
            <w:pPr>
              <w:pStyle w:val="Compact"/>
              <w:jc w:val="left"/>
            </w:pPr>
            <w:r>
              <w:rPr>
                <w:sz w:val="18"/>
              </w:rPr>
              <w:t xml:space="preserve">Agente del lector</w:t>
            </w:r>
          </w:p>
        </w:tc>
        <w:tc>
          <w:tcPr>
            <w:tcW w:w="3702" w:type="dxa"/>
          </w:tcPr>
          <w:p>
            <w:pPr>
              <w:pStyle w:val="Compact"/>
              <w:jc w:val="left"/>
            </w:pPr>
            <w:r>
              <w:rPr>
                <w:sz w:val="18"/>
              </w:rPr>
              <w:t xml:space="preserve">Espera huellas, envía cada intento a la API y atiende enrolamientos y verificaciones que se piden desde SICMA</w:t>
            </w:r>
          </w:p>
        </w:tc>
        <w:tc>
          <w:tcPr>
            <w:tcW w:w="1878" w:type="dxa"/>
          </w:tcPr>
          <w:p>
            <w:pPr>
              <w:pStyle w:val="Compact"/>
              <w:jc w:val="left"/>
            </w:pPr>
            <w:r>
              <w:rPr>
                <w:sz w:val="18"/>
              </w:rPr>
              <w:t xml:space="preserve">Continua</w:t>
            </w:r>
          </w:p>
        </w:tc>
      </w:tr>
    </w:tbl>
    <w:p>
      <w:pPr>
        <w:pStyle w:val="BodyText"/>
        <w:spacing w:line="360" w:lineRule="auto" w:before="160" w:after="0"/>
        <w:ind w:firstLine="709"/>
        <w:jc w:val="both"/>
      </w:pPr>
      <w:r>
        <w:rPr>
          <w:sz w:val="22"/>
        </w:rPr>
        <w:t xml:space="preserve">Los dos procesos periódicos comparten una base común (</w:t>
      </w:r>
      <w:r>
        <w:rPr>
          <w:rStyle w:val="VerbatimChar"/>
          <w:sz w:val="22"/>
        </w:rPr>
        <w:t xml:space="preserve">ComandoPeriodico</w:t>
      </w:r>
      <w:r>
        <w:rPr>
          <w:sz w:val="22"/>
        </w:rPr>
        <w:t xml:space="preserve">): corren en bucle, cierran las conexiones vencidas de MySQL en cada pasada y no se detienen si una pasada falla. También pueden ejecutarse una sola vez desde el Programador de tareas.</w:t>
      </w:r>
    </w:p>
    <w:bookmarkStart w:id="33" w:name="X81ff6fda20e25752dc55787fbd52a9172df8b80"/>
    <w:p>
      <w:pPr>
        <w:pStyle w:val="Heading3"/>
      </w:pPr>
      <w:r>
        <w:t xml:space="preserve">Escenario E-01: lectura ambiental y alerta</w:t>
      </w:r>
    </w:p>
    <w:p>
      <w:pPr>
        <w:pStyle w:val="CaptionedFigure"/>
      </w:pPr>
      <w:r>
        <w:drawing>
          <wp:inline>
            <wp:extent cx="5039999" cy="2346428"/>
            <wp:effectExtent b="0" l="0" r="0" t="0"/>
            <wp:docPr descr="Vista de procesos: ingesta de una lectura y alerta por correo" title="" id="31" name="Picture"/>
            <a:graphic>
              <a:graphicData uri="http://schemas.openxmlformats.org/drawingml/2006/picture">
                <pic:pic>
                  <pic:nvPicPr>
                    <pic:cNvPr descr="arq/procesos.png" id="32" name="Picture"/>
                    <pic:cNvPicPr>
                      <a:picLocks noChangeArrowheads="1" noChangeAspect="1"/>
                    </pic:cNvPicPr>
                  </pic:nvPicPr>
                  <pic:blipFill>
                    <a:blip r:embed="rId30"/>
                    <a:stretch>
                      <a:fillRect/>
                    </a:stretch>
                  </pic:blipFill>
                  <pic:spPr bwMode="auto">
                    <a:xfrm>
                      <a:off x="0" y="0"/>
                      <a:ext cx="5039999" cy="2346428"/>
                    </a:xfrm>
                    <a:prstGeom prst="rect">
                      <a:avLst/>
                    </a:prstGeom>
                    <a:noFill/>
                    <a:ln w="9525">
                      <a:noFill/>
                      <a:headEnd/>
                      <a:tailEnd/>
                    </a:ln>
                  </pic:spPr>
                </pic:pic>
              </a:graphicData>
            </a:graphic>
          </wp:inline>
        </w:drawing>
      </w:r>
    </w:p>
    <w:p>
      <w:pPr>
        <w:pStyle w:val="ImageCaption"/>
      </w:pPr>
      <w:r>
        <w:t xml:space="preserve">Vista de procesos: ingesta de una lectura y alerta por correo</w:t>
      </w:r>
    </w:p>
    <w:p>
      <w:pPr>
        <w:pStyle w:val="BodyText"/>
        <w:spacing w:line="360" w:lineRule="auto" w:before="160" w:after="0"/>
        <w:ind w:firstLine="709"/>
        <w:jc w:val="both"/>
      </w:pPr>
      <w:r>
        <w:rPr>
          <w:sz w:val="22"/>
        </w:rPr>
        <w:t xml:space="preserve">El sensor se identifica con la cabecera X-Device-Key, cuya clave se guarda con hash. La API valida formato y rango, guarda la lectura y la compara con el umbral de la zona. El correo de la alerta sale en un hilo aparte para no demorar la respuesta al sensor. Los procesos periódicos, en cambio, envían el correo en línea, porque un hilo daemon moriría si el proceso termina.</w:t>
      </w:r>
    </w:p>
    <w:bookmarkEnd w:id="33"/>
    <w:bookmarkStart w:id="37" w:name="escenario-e-03-intervención"/>
    <w:p>
      <w:pPr>
        <w:pStyle w:val="Heading3"/>
      </w:pPr>
      <w:r>
        <w:t xml:space="preserve">Escenario E-03: intervención</w:t>
      </w:r>
    </w:p>
    <w:p>
      <w:pPr>
        <w:pStyle w:val="CaptionedFigure"/>
      </w:pPr>
      <w:r>
        <w:drawing>
          <wp:inline>
            <wp:extent cx="5039999" cy="1973571"/>
            <wp:effectExtent b="0" l="0" r="0" t="0"/>
            <wp:docPr descr="Vista de procesos: intervención con Forms, Power Automate y buzón de correo" title="" id="35" name="Picture"/>
            <a:graphic>
              <a:graphicData uri="http://schemas.openxmlformats.org/drawingml/2006/picture">
                <pic:pic>
                  <pic:nvPicPr>
                    <pic:cNvPr descr="arq/intervencion.png" id="36" name="Picture"/>
                    <pic:cNvPicPr>
                      <a:picLocks noChangeArrowheads="1" noChangeAspect="1"/>
                    </pic:cNvPicPr>
                  </pic:nvPicPr>
                  <pic:blipFill>
                    <a:blip r:embed="rId34"/>
                    <a:stretch>
                      <a:fillRect/>
                    </a:stretch>
                  </pic:blipFill>
                  <pic:spPr bwMode="auto">
                    <a:xfrm>
                      <a:off x="0" y="0"/>
                      <a:ext cx="5039999" cy="1973571"/>
                    </a:xfrm>
                    <a:prstGeom prst="rect">
                      <a:avLst/>
                    </a:prstGeom>
                    <a:noFill/>
                    <a:ln w="9525">
                      <a:noFill/>
                      <a:headEnd/>
                      <a:tailEnd/>
                    </a:ln>
                  </pic:spPr>
                </pic:pic>
              </a:graphicData>
            </a:graphic>
          </wp:inline>
        </w:drawing>
      </w:r>
    </w:p>
    <w:p>
      <w:pPr>
        <w:pStyle w:val="ImageCaption"/>
      </w:pPr>
      <w:r>
        <w:t xml:space="preserve">Vista de procesos: intervención con Forms, Power Automate y buzón de correo</w:t>
      </w:r>
    </w:p>
    <w:p>
      <w:pPr>
        <w:pStyle w:val="BodyText"/>
        <w:spacing w:line="360" w:lineRule="auto" w:before="160" w:after="0"/>
        <w:ind w:firstLine="709"/>
        <w:jc w:val="both"/>
      </w:pPr>
      <w:r>
        <w:rPr>
          <w:sz w:val="22"/>
        </w:rPr>
        <w:t xml:space="preserve">Con la licencia gratuita de Power Automate no hay conectores HTTP, por lo que el flujo y SICMA se comunican por correo: el flujo escribe un JSON con la etiqueta [SICMA-INT] en el asunto y SICMA lee su buzón por IMAP. SICMA solo acepta correos del remitente configurado que traigan el token acordado. Los estados posibles son Pendiente, CambiosSolicitados, Aprobada, Rechazada, EnEjecucion, Ejecutada, Fallida y Cancelada.</w:t>
      </w:r>
    </w:p>
    <w:bookmarkEnd w:id="37"/>
    <w:bookmarkStart w:id="38" w:name="escenario-e-04-acceso-con-huella"/>
    <w:p>
      <w:pPr>
        <w:pStyle w:val="Heading3"/>
      </w:pPr>
      <w:r>
        <w:t xml:space="preserve">Escenario E-04: acceso con huella</w:t>
      </w:r>
    </w:p>
    <w:p>
      <w:pPr>
        <w:pStyle w:val="FirstParagraph"/>
        <w:spacing w:line="360" w:lineRule="auto" w:before="160" w:after="0"/>
        <w:ind w:firstLine="709"/>
        <w:jc w:val="both"/>
      </w:pPr>
      <w:r>
        <w:rPr>
          <w:sz w:val="22"/>
        </w:rPr>
        <w:t xml:space="preserve">El lector SecuGen Hamster Plus está conectado por USB a un PC donde corre el agente. Las plantillas de huella quedan cifradas solo en ese PC. A SICMA viaja únicamente el identificador reconocido. SICMA decide si el acceso se permite según la persona, su permiso vigente para ese punto y su ventana horaria, y registra cada intento, permitido o denegado. Revocar un permiso en SICMA tiene efecto inmediato, sin tocar el PC del lector. El agente se autentica con las cabeceras X-Punto-Acceso y X-Device-Key.</w:t>
      </w:r>
    </w:p>
    <w:bookmarkEnd w:id="38"/>
    <w:bookmarkEnd w:id="39"/>
    <w:bookmarkStart w:id="44" w:name="vista-de-desarrollo"/>
    <w:p>
      <w:pPr>
        <w:pStyle w:val="Heading2"/>
      </w:pPr>
      <w:r>
        <w:t xml:space="preserve">Vista de desarrollo</w:t>
      </w:r>
    </w:p>
    <w:p>
      <w:pPr>
        <w:pStyle w:val="FirstParagraph"/>
        <w:spacing w:line="360" w:lineRule="auto" w:before="160" w:after="0"/>
        <w:ind w:firstLine="709"/>
        <w:jc w:val="both"/>
      </w:pPr>
      <w:r>
        <w:rPr>
          <w:sz w:val="22"/>
        </w:rPr>
        <w:t xml:space="preserve">La vista de desarrollo describe cómo se organiza el código y qué tecnologías usa.</w:t>
      </w:r>
    </w:p>
    <w:bookmarkStart w:id="40" w:name="estructura-del-repositorio"/>
    <w:p>
      <w:pPr>
        <w:pStyle w:val="Heading3"/>
      </w:pPr>
      <w:r>
        <w:t xml:space="preserve">Estructura del repositorio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4799"/>
      </w:tblGrid>
      <w:tr>
        <w:trPr>
          <w:tblHeader w:val="true"/>
        </w:trPr>
        <w:tc>
          <w:tcPr>
            <w:tcW w:w="3120" w:type="dxa"/>
            <w:shd w:val="clear" w:color="auto" w:fill="D9E2F3"/>
          </w:tcPr>
          <w:p>
            <w:pPr>
              <w:pStyle w:val="Compact"/>
              <w:jc w:val="left"/>
            </w:pPr>
            <w:r>
              <w:rPr>
                <w:b/>
                <w:sz w:val="18"/>
              </w:rPr>
              <w:t xml:space="preserve">Carpeta</w:t>
            </w:r>
          </w:p>
        </w:tc>
        <w:tc>
          <w:tcPr>
            <w:tcW w:w="4799" w:type="dxa"/>
            <w:shd w:val="clear" w:color="auto" w:fill="D9E2F3"/>
          </w:tcPr>
          <w:p>
            <w:pPr>
              <w:pStyle w:val="Compact"/>
              <w:jc w:val="left"/>
            </w:pPr>
            <w:r>
              <w:rPr>
                <w:b/>
                <w:sz w:val="18"/>
              </w:rPr>
              <w:t xml:space="preserve">Contenido</w:t>
            </w:r>
          </w:p>
        </w:tc>
      </w:tr>
      <w:tr>
        <w:tc>
          <w:tcPr>
            <w:tcW w:w="3120" w:type="dxa"/>
          </w:tcPr>
          <w:p>
            <w:pPr>
              <w:pStyle w:val="Compact"/>
              <w:jc w:val="left"/>
            </w:pPr>
            <w:r>
              <w:rPr>
                <w:sz w:val="18"/>
              </w:rPr>
              <w:t xml:space="preserve">Software/Backend</w:t>
            </w:r>
          </w:p>
        </w:tc>
        <w:tc>
          <w:tcPr>
            <w:tcW w:w="4799" w:type="dxa"/>
          </w:tcPr>
          <w:p>
            <w:pPr>
              <w:pStyle w:val="Compact"/>
              <w:jc w:val="left"/>
            </w:pPr>
            <w:r>
              <w:rPr>
                <w:sz w:val="18"/>
              </w:rPr>
              <w:t xml:space="preserve">Proyecto Django: configuración</w:t>
            </w:r>
            <w:r>
              <w:rPr>
                <w:sz w:val="18"/>
              </w:rPr>
              <w:t xml:space="preserve"> </w:t>
            </w:r>
            <w:r>
              <w:rPr>
                <w:rStyle w:val="VerbatimChar"/>
                <w:sz w:val="18"/>
              </w:rPr>
              <w:t xml:space="preserve">backendsicma</w:t>
            </w:r>
            <w:r>
              <w:rPr>
                <w:sz w:val="18"/>
              </w:rPr>
              <w:t xml:space="preserve"> </w:t>
            </w:r>
            <w:r>
              <w:rPr>
                <w:sz w:val="18"/>
              </w:rPr>
              <w:t xml:space="preserve">y las siete apps</w:t>
            </w:r>
          </w:p>
        </w:tc>
      </w:tr>
      <w:tr>
        <w:tc>
          <w:tcPr>
            <w:tcW w:w="3120" w:type="dxa"/>
          </w:tcPr>
          <w:p>
            <w:pPr>
              <w:pStyle w:val="Compact"/>
              <w:jc w:val="left"/>
            </w:pPr>
            <w:r>
              <w:rPr>
                <w:sz w:val="18"/>
              </w:rPr>
              <w:t xml:space="preserve">Software/sicma-frontend</w:t>
            </w:r>
          </w:p>
        </w:tc>
        <w:tc>
          <w:tcPr>
            <w:tcW w:w="4799" w:type="dxa"/>
          </w:tcPr>
          <w:p>
            <w:pPr>
              <w:pStyle w:val="Compact"/>
              <w:jc w:val="left"/>
            </w:pPr>
            <w:r>
              <w:rPr>
                <w:sz w:val="18"/>
              </w:rPr>
              <w:t xml:space="preserve">Web Angular, app móvil con Capacitor y configuración de Cloudflare Pages</w:t>
            </w:r>
          </w:p>
        </w:tc>
      </w:tr>
      <w:tr>
        <w:tc>
          <w:tcPr>
            <w:tcW w:w="3120" w:type="dxa"/>
          </w:tcPr>
          <w:p>
            <w:pPr>
              <w:pStyle w:val="Compact"/>
              <w:jc w:val="left"/>
            </w:pPr>
            <w:r>
              <w:rPr>
                <w:sz w:val="18"/>
              </w:rPr>
              <w:t xml:space="preserve">Software/AgenteLector</w:t>
            </w:r>
          </w:p>
        </w:tc>
        <w:tc>
          <w:tcPr>
            <w:tcW w:w="4799" w:type="dxa"/>
          </w:tcPr>
          <w:p>
            <w:pPr>
              <w:pStyle w:val="Compact"/>
              <w:jc w:val="left"/>
            </w:pPr>
            <w:r>
              <w:rPr>
                <w:sz w:val="18"/>
              </w:rPr>
              <w:t xml:space="preserve">Agente en Python del lector SecuGen y almacén cifrado de plantillas</w:t>
            </w:r>
          </w:p>
        </w:tc>
      </w:tr>
      <w:tr>
        <w:tc>
          <w:tcPr>
            <w:tcW w:w="3120" w:type="dxa"/>
          </w:tcPr>
          <w:p>
            <w:pPr>
              <w:pStyle w:val="Compact"/>
              <w:jc w:val="left"/>
            </w:pPr>
            <w:r>
              <w:rPr>
                <w:sz w:val="18"/>
              </w:rPr>
              <w:t xml:space="preserve">Software/iniciar_sicma.ps1</w:t>
            </w:r>
          </w:p>
        </w:tc>
        <w:tc>
          <w:tcPr>
            <w:tcW w:w="4799" w:type="dxa"/>
          </w:tcPr>
          <w:p>
            <w:pPr>
              <w:pStyle w:val="Compact"/>
              <w:jc w:val="left"/>
            </w:pPr>
            <w:r>
              <w:rPr>
                <w:sz w:val="18"/>
              </w:rPr>
              <w:t xml:space="preserve">Script que abre los cuatro procesos</w:t>
            </w:r>
          </w:p>
        </w:tc>
      </w:tr>
      <w:tr>
        <w:tc>
          <w:tcPr>
            <w:tcW w:w="3120" w:type="dxa"/>
          </w:tcPr>
          <w:p>
            <w:pPr>
              <w:pStyle w:val="Compact"/>
              <w:jc w:val="left"/>
            </w:pPr>
            <w:r>
              <w:rPr>
                <w:sz w:val="18"/>
              </w:rPr>
              <w:t xml:space="preserve">Fase 2</w:t>
            </w:r>
          </w:p>
        </w:tc>
        <w:tc>
          <w:tcPr>
            <w:tcW w:w="4799" w:type="dxa"/>
          </w:tcPr>
          <w:p>
            <w:pPr>
              <w:pStyle w:val="Compact"/>
              <w:jc w:val="left"/>
            </w:pPr>
            <w:r>
              <w:rPr>
                <w:sz w:val="18"/>
              </w:rPr>
              <w:t xml:space="preserve">Documentación del proyecto</w:t>
            </w:r>
          </w:p>
        </w:tc>
      </w:tr>
    </w:tbl>
    <w:bookmarkEnd w:id="40"/>
    <w:bookmarkStart w:id="41" w:name="tecnologías"/>
    <w:p>
      <w:pPr>
        <w:pStyle w:val="Heading3"/>
      </w:pPr>
      <w:r>
        <w:t xml:space="preserve">Tecnologías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353"/>
        <w:gridCol w:w="3550"/>
        <w:gridCol w:w="2015"/>
      </w:tblGrid>
      <w:tr>
        <w:trPr>
          <w:tblHeader w:val="true"/>
        </w:trPr>
        <w:tc>
          <w:tcPr>
            <w:tcW w:w="2353" w:type="dxa"/>
            <w:shd w:val="clear" w:color="auto" w:fill="D9E2F3"/>
          </w:tcPr>
          <w:p>
            <w:pPr>
              <w:pStyle w:val="Compact"/>
              <w:jc w:val="left"/>
            </w:pPr>
            <w:r>
              <w:rPr>
                <w:b/>
                <w:sz w:val="18"/>
              </w:rPr>
              <w:t xml:space="preserve">Capa</w:t>
            </w:r>
          </w:p>
        </w:tc>
        <w:tc>
          <w:tcPr>
            <w:tcW w:w="3550" w:type="dxa"/>
            <w:shd w:val="clear" w:color="auto" w:fill="D9E2F3"/>
          </w:tcPr>
          <w:p>
            <w:pPr>
              <w:pStyle w:val="Compact"/>
              <w:jc w:val="left"/>
            </w:pPr>
            <w:r>
              <w:rPr>
                <w:b/>
                <w:sz w:val="18"/>
              </w:rPr>
              <w:t xml:space="preserve">Tecnología</w:t>
            </w:r>
          </w:p>
        </w:tc>
        <w:tc>
          <w:tcPr>
            <w:tcW w:w="2015" w:type="dxa"/>
            <w:shd w:val="clear" w:color="auto" w:fill="D9E2F3"/>
          </w:tcPr>
          <w:p>
            <w:pPr>
              <w:pStyle w:val="Compact"/>
              <w:jc w:val="left"/>
            </w:pPr>
            <w:r>
              <w:rPr>
                <w:b/>
                <w:sz w:val="18"/>
              </w:rPr>
              <w:t xml:space="preserve">Versión mínima</w:t>
            </w:r>
          </w:p>
        </w:tc>
      </w:tr>
      <w:tr>
        <w:tc>
          <w:tcPr>
            <w:tcW w:w="2353" w:type="dxa"/>
          </w:tcPr>
          <w:p>
            <w:pPr>
              <w:pStyle w:val="Compact"/>
              <w:jc w:val="left"/>
            </w:pPr>
            <w:r>
              <w:rPr>
                <w:sz w:val="18"/>
              </w:rPr>
              <w:t xml:space="preserve">Backend</w:t>
            </w:r>
          </w:p>
        </w:tc>
        <w:tc>
          <w:tcPr>
            <w:tcW w:w="3550" w:type="dxa"/>
          </w:tcPr>
          <w:p>
            <w:pPr>
              <w:pStyle w:val="Compact"/>
              <w:jc w:val="left"/>
            </w:pPr>
            <w:r>
              <w:rPr>
                <w:sz w:val="18"/>
              </w:rPr>
              <w:t xml:space="preserve">Django y Django REST Framework</w:t>
            </w:r>
          </w:p>
        </w:tc>
        <w:tc>
          <w:tcPr>
            <w:tcW w:w="2015" w:type="dxa"/>
          </w:tcPr>
          <w:p>
            <w:pPr>
              <w:pStyle w:val="Compact"/>
              <w:jc w:val="left"/>
            </w:pPr>
            <w:r>
              <w:rPr>
                <w:sz w:val="18"/>
              </w:rPr>
              <w:t xml:space="preserve">6.1 y 3.18</w:t>
            </w:r>
          </w:p>
        </w:tc>
      </w:tr>
      <w:tr>
        <w:tc>
          <w:tcPr>
            <w:tcW w:w="2353" w:type="dxa"/>
          </w:tcPr>
          <w:p>
            <w:pPr>
              <w:pStyle w:val="Compact"/>
              <w:jc w:val="left"/>
            </w:pPr>
            <w:r>
              <w:rPr>
                <w:sz w:val="18"/>
              </w:rPr>
              <w:t xml:space="preserve">Autenticación</w:t>
            </w:r>
          </w:p>
        </w:tc>
        <w:tc>
          <w:tcPr>
            <w:tcW w:w="3550" w:type="dxa"/>
          </w:tcPr>
          <w:p>
            <w:pPr>
              <w:pStyle w:val="Compact"/>
              <w:jc w:val="left"/>
            </w:pPr>
            <w:r>
              <w:rPr>
                <w:sz w:val="18"/>
              </w:rPr>
              <w:t xml:space="preserve">djangorestframework-simplejwt con lista de tokens revocados</w:t>
            </w:r>
          </w:p>
        </w:tc>
        <w:tc>
          <w:tcPr>
            <w:tcW w:w="2015" w:type="dxa"/>
          </w:tcPr>
          <w:p>
            <w:pPr>
              <w:pStyle w:val="Compact"/>
              <w:jc w:val="left"/>
            </w:pPr>
            <w:r>
              <w:rPr>
                <w:sz w:val="18"/>
              </w:rPr>
              <w:t xml:space="preserve">5.5</w:t>
            </w:r>
          </w:p>
        </w:tc>
      </w:tr>
      <w:tr>
        <w:tc>
          <w:tcPr>
            <w:tcW w:w="2353" w:type="dxa"/>
          </w:tcPr>
          <w:p>
            <w:pPr>
              <w:pStyle w:val="Compact"/>
              <w:jc w:val="left"/>
            </w:pPr>
            <w:r>
              <w:rPr>
                <w:sz w:val="18"/>
              </w:rPr>
              <w:t xml:space="preserve">Servidor de aplicación</w:t>
            </w:r>
          </w:p>
        </w:tc>
        <w:tc>
          <w:tcPr>
            <w:tcW w:w="3550" w:type="dxa"/>
          </w:tcPr>
          <w:p>
            <w:pPr>
              <w:pStyle w:val="Compact"/>
              <w:jc w:val="left"/>
            </w:pPr>
            <w:r>
              <w:rPr>
                <w:sz w:val="18"/>
              </w:rPr>
              <w:t xml:space="preserve">waitress</w:t>
            </w:r>
          </w:p>
        </w:tc>
        <w:tc>
          <w:tcPr>
            <w:tcW w:w="2015" w:type="dxa"/>
          </w:tcPr>
          <w:p>
            <w:pPr>
              <w:pStyle w:val="Compact"/>
              <w:jc w:val="left"/>
            </w:pPr>
            <w:r>
              <w:rPr>
                <w:sz w:val="18"/>
              </w:rPr>
              <w:t xml:space="preserve">3.0</w:t>
            </w:r>
          </w:p>
        </w:tc>
      </w:tr>
      <w:tr>
        <w:tc>
          <w:tcPr>
            <w:tcW w:w="2353" w:type="dxa"/>
          </w:tcPr>
          <w:p>
            <w:pPr>
              <w:pStyle w:val="Compact"/>
              <w:jc w:val="left"/>
            </w:pPr>
            <w:r>
              <w:rPr>
                <w:sz w:val="18"/>
              </w:rPr>
              <w:t xml:space="preserve">Base de datos</w:t>
            </w:r>
          </w:p>
        </w:tc>
        <w:tc>
          <w:tcPr>
            <w:tcW w:w="3550" w:type="dxa"/>
          </w:tcPr>
          <w:p>
            <w:pPr>
              <w:pStyle w:val="Compact"/>
              <w:jc w:val="left"/>
            </w:pPr>
            <w:r>
              <w:rPr>
                <w:sz w:val="18"/>
              </w:rPr>
              <w:t xml:space="preserve">MySQL InnoDB Cluster, acceso con mysqlclient</w:t>
            </w:r>
          </w:p>
        </w:tc>
        <w:tc>
          <w:tcPr>
            <w:tcW w:w="2015" w:type="dxa"/>
          </w:tcPr>
          <w:p>
            <w:pPr>
              <w:pStyle w:val="Compact"/>
              <w:jc w:val="left"/>
            </w:pPr>
            <w:r>
              <w:rPr>
                <w:sz w:val="18"/>
              </w:rPr>
              <w:t xml:space="preserve">2.2</w:t>
            </w:r>
          </w:p>
        </w:tc>
      </w:tr>
      <w:tr>
        <w:tc>
          <w:tcPr>
            <w:tcW w:w="2353" w:type="dxa"/>
          </w:tcPr>
          <w:p>
            <w:pPr>
              <w:pStyle w:val="Compact"/>
              <w:jc w:val="left"/>
            </w:pPr>
            <w:r>
              <w:rPr>
                <w:sz w:val="18"/>
              </w:rPr>
              <w:t xml:space="preserve">Web</w:t>
            </w:r>
          </w:p>
        </w:tc>
        <w:tc>
          <w:tcPr>
            <w:tcW w:w="3550" w:type="dxa"/>
          </w:tcPr>
          <w:p>
            <w:pPr>
              <w:pStyle w:val="Compact"/>
              <w:jc w:val="left"/>
            </w:pPr>
            <w:r>
              <w:rPr>
                <w:sz w:val="18"/>
              </w:rPr>
              <w:t xml:space="preserve">Angular</w:t>
            </w:r>
          </w:p>
        </w:tc>
        <w:tc>
          <w:tcPr>
            <w:tcW w:w="2015" w:type="dxa"/>
          </w:tcPr>
          <w:p>
            <w:pPr>
              <w:pStyle w:val="Compact"/>
              <w:jc w:val="left"/>
            </w:pPr>
            <w:r>
              <w:rPr>
                <w:sz w:val="18"/>
              </w:rPr>
              <w:t xml:space="preserve">20</w:t>
            </w:r>
          </w:p>
        </w:tc>
      </w:tr>
      <w:tr>
        <w:tc>
          <w:tcPr>
            <w:tcW w:w="2353" w:type="dxa"/>
          </w:tcPr>
          <w:p>
            <w:pPr>
              <w:pStyle w:val="Compact"/>
              <w:jc w:val="left"/>
            </w:pPr>
            <w:r>
              <w:rPr>
                <w:sz w:val="18"/>
              </w:rPr>
              <w:t xml:space="preserve">Móvil</w:t>
            </w:r>
          </w:p>
        </w:tc>
        <w:tc>
          <w:tcPr>
            <w:tcW w:w="3550" w:type="dxa"/>
          </w:tcPr>
          <w:p>
            <w:pPr>
              <w:pStyle w:val="Compact"/>
              <w:jc w:val="left"/>
            </w:pPr>
            <w:r>
              <w:rPr>
                <w:sz w:val="18"/>
              </w:rPr>
              <w:t xml:space="preserve">Ionic y Capacitor</w:t>
            </w:r>
          </w:p>
        </w:tc>
        <w:tc>
          <w:tcPr>
            <w:tcW w:w="2015" w:type="dxa"/>
          </w:tcPr>
          <w:p>
            <w:pPr>
              <w:pStyle w:val="Compact"/>
              <w:jc w:val="left"/>
            </w:pPr>
            <w:r>
              <w:rPr>
                <w:sz w:val="18"/>
              </w:rPr>
              <w:t xml:space="preserve">9 y 8</w:t>
            </w:r>
          </w:p>
        </w:tc>
      </w:tr>
      <w:tr>
        <w:tc>
          <w:tcPr>
            <w:tcW w:w="2353" w:type="dxa"/>
          </w:tcPr>
          <w:p>
            <w:pPr>
              <w:pStyle w:val="Compact"/>
              <w:jc w:val="left"/>
            </w:pPr>
            <w:r>
              <w:rPr>
                <w:sz w:val="18"/>
              </w:rPr>
              <w:t xml:space="preserve">Agente</w:t>
            </w:r>
          </w:p>
        </w:tc>
        <w:tc>
          <w:tcPr>
            <w:tcW w:w="3550" w:type="dxa"/>
          </w:tcPr>
          <w:p>
            <w:pPr>
              <w:pStyle w:val="Compact"/>
              <w:jc w:val="left"/>
            </w:pPr>
            <w:r>
              <w:rPr>
                <w:sz w:val="18"/>
              </w:rPr>
              <w:t xml:space="preserve">Python con el SDK FDx de SecuGen</w:t>
            </w:r>
          </w:p>
        </w:tc>
        <w:tc>
          <w:tcPr>
            <w:tcW w:w="2015" w:type="dxa"/>
          </w:tcPr>
          <w:p>
            <w:pPr>
              <w:pStyle w:val="Compact"/>
              <w:jc w:val="left"/>
            </w:pPr>
            <w:r>
              <w:rPr>
                <w:sz w:val="18"/>
              </w:rPr>
              <w:t xml:space="preserve">4.3.1</w:t>
            </w:r>
          </w:p>
        </w:tc>
      </w:tr>
    </w:tbl>
    <w:bookmarkEnd w:id="41"/>
    <w:bookmarkStart w:id="42" w:name="organización-del-frontend"/>
    <w:p>
      <w:pPr>
        <w:pStyle w:val="Heading3"/>
      </w:pPr>
      <w:r>
        <w:t xml:space="preserve">Organización del frontend</w:t>
      </w:r>
    </w:p>
    <w:p>
      <w:pPr>
        <w:pStyle w:val="FirstParagraph"/>
        <w:spacing w:line="360" w:lineRule="auto" w:before="160" w:after="0"/>
        <w:ind w:firstLine="709"/>
        <w:jc w:val="both"/>
      </w:pPr>
      <w:r>
        <w:rPr>
          <w:sz w:val="22"/>
        </w:rPr>
        <w:t xml:space="preserve">El frontend separa páginas, servicios y elementos de seguridad: páginas por módulo (panel, monitoreo, activos, catálogos, intervenciones, accesos, personal, usuarios, arduinos, login y recuperación de clave), un servicio por módulo de la API, un interceptor que agrega el token y tres guardias de ruta (sesión, administrador y rol). Hay tres configuraciones de compilación: desarrollo, producción para la web y móvil, esta última en modo solo consulta.</w:t>
      </w:r>
    </w:p>
    <w:bookmarkEnd w:id="42"/>
    <w:bookmarkStart w:id="43" w:name="pruebas-y-calidad"/>
    <w:p>
      <w:pPr>
        <w:pStyle w:val="Heading3"/>
      </w:pPr>
      <w:r>
        <w:t xml:space="preserve">Pruebas y calidad</w:t>
      </w:r>
    </w:p>
    <w:p>
      <w:pPr>
        <w:pStyle w:val="FirstParagraph"/>
        <w:spacing w:line="360" w:lineRule="auto" w:before="160" w:after="0"/>
        <w:ind w:firstLine="709"/>
        <w:jc w:val="both"/>
      </w:pPr>
      <w:r>
        <w:rPr>
          <w:sz w:val="22"/>
        </w:rPr>
        <w:t xml:space="preserve">El backend tiene 128 pruebas automáticas distribuidas por app (accesos, alertas, intervenciones, login, mediciones, inventario e infraestructura). No hay integración continua configurada en el repositorio, por lo que RNF-CAL-01 sigue pendiente. Las pruebas de inyección SQL y el análisis con SonarQube de RNF-CAL-02 están planificados para la Fase 3.</w:t>
      </w:r>
    </w:p>
    <w:bookmarkEnd w:id="43"/>
    <w:bookmarkEnd w:id="44"/>
    <w:bookmarkStart w:id="49" w:name="vista-física"/>
    <w:p>
      <w:pPr>
        <w:pStyle w:val="Heading2"/>
      </w:pPr>
      <w:r>
        <w:t xml:space="preserve">Vista física</w:t>
      </w:r>
    </w:p>
    <w:p>
      <w:pPr>
        <w:pStyle w:val="FirstParagraph"/>
        <w:spacing w:line="360" w:lineRule="auto" w:before="160" w:after="0"/>
        <w:ind w:firstLine="709"/>
        <w:jc w:val="both"/>
      </w:pPr>
      <w:r>
        <w:rPr>
          <w:sz w:val="22"/>
        </w:rPr>
        <w:t xml:space="preserve">La vista física muestra dónde corre cada componente. El backend y la base de datos están on premise y la web en la nube, como pide RNF-DES-01.</w:t>
      </w:r>
    </w:p>
    <w:p>
      <w:pPr>
        <w:pStyle w:val="CaptionedFigure"/>
      </w:pPr>
      <w:r>
        <w:drawing>
          <wp:inline>
            <wp:extent cx="5334000" cy="2816678"/>
            <wp:effectExtent b="0" l="0" r="0" t="0"/>
            <wp:docPr descr="Vista física: nodos, red y servicios en la nube" title="" id="46" name="Picture"/>
            <a:graphic>
              <a:graphicData uri="http://schemas.openxmlformats.org/drawingml/2006/picture">
                <pic:pic>
                  <pic:nvPicPr>
                    <pic:cNvPr descr="arq/despliegue.png" id="47" name="Picture"/>
                    <pic:cNvPicPr>
                      <a:picLocks noChangeArrowheads="1" noChangeAspect="1"/>
                    </pic:cNvPicPr>
                  </pic:nvPicPr>
                  <pic:blipFill>
                    <a:blip r:embed="rId45"/>
                    <a:stretch>
                      <a:fillRect/>
                    </a:stretch>
                  </pic:blipFill>
                  <pic:spPr bwMode="auto">
                    <a:xfrm>
                      <a:off x="0" y="0"/>
                      <a:ext cx="5334000" cy="2816678"/>
                    </a:xfrm>
                    <a:prstGeom prst="rect">
                      <a:avLst/>
                    </a:prstGeom>
                    <a:noFill/>
                    <a:ln w="9525">
                      <a:noFill/>
                      <a:headEnd/>
                      <a:tailEnd/>
                    </a:ln>
                  </pic:spPr>
                </pic:pic>
              </a:graphicData>
            </a:graphic>
          </wp:inline>
        </w:drawing>
      </w:r>
    </w:p>
    <w:p>
      <w:pPr>
        <w:pStyle w:val="ImageCaption"/>
      </w:pPr>
      <w:r>
        <w:t xml:space="preserve">Vista física: nodos, red y servicios en la nube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98"/>
        <w:gridCol w:w="3601"/>
        <w:gridCol w:w="2119"/>
      </w:tblGrid>
      <w:tr>
        <w:trPr>
          <w:tblHeader w:val="true"/>
        </w:trPr>
        <w:tc>
          <w:tcPr>
            <w:tcW w:w="2198" w:type="dxa"/>
            <w:shd w:val="clear" w:color="auto" w:fill="D9E2F3"/>
          </w:tcPr>
          <w:p>
            <w:pPr>
              <w:pStyle w:val="Compact"/>
              <w:jc w:val="left"/>
            </w:pPr>
            <w:r>
              <w:rPr>
                <w:b/>
                <w:sz w:val="18"/>
              </w:rPr>
              <w:t xml:space="preserve">Nodo</w:t>
            </w:r>
          </w:p>
        </w:tc>
        <w:tc>
          <w:tcPr>
            <w:tcW w:w="3601" w:type="dxa"/>
            <w:shd w:val="clear" w:color="auto" w:fill="D9E2F3"/>
          </w:tcPr>
          <w:p>
            <w:pPr>
              <w:pStyle w:val="Compact"/>
              <w:jc w:val="left"/>
            </w:pPr>
            <w:r>
              <w:rPr>
                <w:b/>
                <w:sz w:val="18"/>
              </w:rPr>
              <w:t xml:space="preserve">Qué aloja</w:t>
            </w:r>
          </w:p>
        </w:tc>
        <w:tc>
          <w:tcPr>
            <w:tcW w:w="2119" w:type="dxa"/>
            <w:shd w:val="clear" w:color="auto" w:fill="D9E2F3"/>
          </w:tcPr>
          <w:p>
            <w:pPr>
              <w:pStyle w:val="Compact"/>
              <w:jc w:val="left"/>
            </w:pPr>
            <w:r>
              <w:rPr>
                <w:b/>
                <w:sz w:val="18"/>
              </w:rPr>
              <w:t xml:space="preserve">Acceso</w:t>
            </w:r>
          </w:p>
        </w:tc>
      </w:tr>
      <w:tr>
        <w:tc>
          <w:tcPr>
            <w:tcW w:w="2198" w:type="dxa"/>
          </w:tcPr>
          <w:p>
            <w:pPr>
              <w:pStyle w:val="Compact"/>
              <w:jc w:val="left"/>
            </w:pPr>
            <w:r>
              <w:rPr>
                <w:sz w:val="18"/>
              </w:rPr>
              <w:t xml:space="preserve">Cloudflare Pages</w:t>
            </w:r>
          </w:p>
        </w:tc>
        <w:tc>
          <w:tcPr>
            <w:tcW w:w="3601" w:type="dxa"/>
          </w:tcPr>
          <w:p>
            <w:pPr>
              <w:pStyle w:val="Compact"/>
              <w:jc w:val="left"/>
            </w:pPr>
            <w:r>
              <w:rPr>
                <w:sz w:val="18"/>
              </w:rPr>
              <w:t xml:space="preserve">Web Angular en app.sicma.cl, con política de seguridad de contenido (CSP)</w:t>
            </w:r>
          </w:p>
        </w:tc>
        <w:tc>
          <w:tcPr>
            <w:tcW w:w="2119" w:type="dxa"/>
          </w:tcPr>
          <w:p>
            <w:pPr>
              <w:pStyle w:val="Compact"/>
              <w:jc w:val="left"/>
            </w:pPr>
            <w:r>
              <w:rPr>
                <w:sz w:val="18"/>
              </w:rPr>
              <w:t xml:space="preserve">Internet</w:t>
            </w:r>
          </w:p>
        </w:tc>
      </w:tr>
      <w:tr>
        <w:tc>
          <w:tcPr>
            <w:tcW w:w="2198" w:type="dxa"/>
          </w:tcPr>
          <w:p>
            <w:pPr>
              <w:pStyle w:val="Compact"/>
              <w:jc w:val="left"/>
            </w:pPr>
            <w:r>
              <w:rPr>
                <w:sz w:val="18"/>
              </w:rPr>
              <w:t xml:space="preserve">Cloudflare Tunnel</w:t>
            </w:r>
          </w:p>
        </w:tc>
        <w:tc>
          <w:tcPr>
            <w:tcW w:w="3601" w:type="dxa"/>
          </w:tcPr>
          <w:p>
            <w:pPr>
              <w:pStyle w:val="Compact"/>
              <w:jc w:val="left"/>
            </w:pPr>
            <w:r>
              <w:rPr>
                <w:sz w:val="18"/>
              </w:rPr>
              <w:t xml:space="preserve">Publica la API de la red del proyecto en api.sicma.cl sin abrir puertos de entrada [10]</w:t>
            </w:r>
          </w:p>
        </w:tc>
        <w:tc>
          <w:tcPr>
            <w:tcW w:w="2119" w:type="dxa"/>
          </w:tcPr>
          <w:p>
            <w:pPr>
              <w:pStyle w:val="Compact"/>
              <w:jc w:val="left"/>
            </w:pPr>
            <w:r>
              <w:rPr>
                <w:sz w:val="18"/>
              </w:rPr>
              <w:t xml:space="preserve">Internet</w:t>
            </w:r>
          </w:p>
        </w:tc>
      </w:tr>
      <w:tr>
        <w:tc>
          <w:tcPr>
            <w:tcW w:w="2198" w:type="dxa"/>
          </w:tcPr>
          <w:p>
            <w:pPr>
              <w:pStyle w:val="Compact"/>
              <w:jc w:val="left"/>
            </w:pPr>
            <w:r>
              <w:rPr>
                <w:sz w:val="18"/>
              </w:rPr>
              <w:t xml:space="preserve">PC de la API</w:t>
            </w:r>
          </w:p>
        </w:tc>
        <w:tc>
          <w:tcPr>
            <w:tcW w:w="3601" w:type="dxa"/>
          </w:tcPr>
          <w:p>
            <w:pPr>
              <w:pStyle w:val="Compact"/>
              <w:jc w:val="left"/>
            </w:pPr>
            <w:r>
              <w:rPr>
                <w:sz w:val="18"/>
              </w:rPr>
              <w:t xml:space="preserve">Backend con waitress, procesos periódicos y agente del lector</w:t>
            </w:r>
          </w:p>
        </w:tc>
        <w:tc>
          <w:tcPr>
            <w:tcW w:w="2119" w:type="dxa"/>
          </w:tcPr>
          <w:p>
            <w:pPr>
              <w:pStyle w:val="Compact"/>
              <w:jc w:val="left"/>
            </w:pPr>
            <w:r>
              <w:rPr>
                <w:sz w:val="18"/>
              </w:rPr>
              <w:t xml:space="preserve">Red del proyecto y túnel</w:t>
            </w:r>
          </w:p>
        </w:tc>
      </w:tr>
      <w:tr>
        <w:tc>
          <w:tcPr>
            <w:tcW w:w="2198" w:type="dxa"/>
          </w:tcPr>
          <w:p>
            <w:pPr>
              <w:pStyle w:val="Compact"/>
              <w:jc w:val="left"/>
            </w:pPr>
            <w:r>
              <w:rPr>
                <w:sz w:val="18"/>
              </w:rPr>
              <w:t xml:space="preserve">MySQL Router, puerto 6446</w:t>
            </w:r>
          </w:p>
        </w:tc>
        <w:tc>
          <w:tcPr>
            <w:tcW w:w="3601" w:type="dxa"/>
          </w:tcPr>
          <w:p>
            <w:pPr>
              <w:pStyle w:val="Compact"/>
              <w:jc w:val="left"/>
            </w:pPr>
            <w:r>
              <w:rPr>
                <w:sz w:val="18"/>
              </w:rPr>
              <w:t xml:space="preserve">Punto único de conexión a la base de datos [11]</w:t>
            </w:r>
          </w:p>
        </w:tc>
        <w:tc>
          <w:tcPr>
            <w:tcW w:w="2119" w:type="dxa"/>
          </w:tcPr>
          <w:p>
            <w:pPr>
              <w:pStyle w:val="Compact"/>
              <w:jc w:val="left"/>
            </w:pPr>
            <w:r>
              <w:rPr>
                <w:sz w:val="18"/>
              </w:rPr>
              <w:t xml:space="preserve">Solo el PC de la API</w:t>
            </w:r>
          </w:p>
        </w:tc>
      </w:tr>
      <w:tr>
        <w:tc>
          <w:tcPr>
            <w:tcW w:w="2198" w:type="dxa"/>
          </w:tcPr>
          <w:p>
            <w:pPr>
              <w:pStyle w:val="Compact"/>
              <w:jc w:val="left"/>
            </w:pPr>
            <w:r>
              <w:rPr>
                <w:sz w:val="18"/>
              </w:rPr>
              <w:t xml:space="preserve">Nodos 1, 2 y 3</w:t>
            </w:r>
          </w:p>
        </w:tc>
        <w:tc>
          <w:tcPr>
            <w:tcW w:w="3601" w:type="dxa"/>
          </w:tcPr>
          <w:p>
            <w:pPr>
              <w:pStyle w:val="Compact"/>
              <w:jc w:val="left"/>
            </w:pPr>
            <w:r>
              <w:rPr>
                <w:sz w:val="18"/>
              </w:rPr>
              <w:t xml:space="preserve">InnoDB Cluster con un solo nodo primary en escritura</w:t>
            </w:r>
          </w:p>
        </w:tc>
        <w:tc>
          <w:tcPr>
            <w:tcW w:w="2119" w:type="dxa"/>
          </w:tcPr>
          <w:p>
            <w:pPr>
              <w:pStyle w:val="Compact"/>
              <w:jc w:val="left"/>
            </w:pPr>
            <w:r>
              <w:rPr>
                <w:sz w:val="18"/>
              </w:rPr>
              <w:t xml:space="preserve">Solo el Router</w:t>
            </w:r>
          </w:p>
        </w:tc>
      </w:tr>
      <w:tr>
        <w:tc>
          <w:tcPr>
            <w:tcW w:w="2198" w:type="dxa"/>
          </w:tcPr>
          <w:p>
            <w:pPr>
              <w:pStyle w:val="Compact"/>
              <w:jc w:val="left"/>
            </w:pPr>
            <w:r>
              <w:rPr>
                <w:sz w:val="18"/>
              </w:rPr>
              <w:t xml:space="preserve">Zabbix</w:t>
            </w:r>
          </w:p>
        </w:tc>
        <w:tc>
          <w:tcPr>
            <w:tcW w:w="3601" w:type="dxa"/>
          </w:tcPr>
          <w:p>
            <w:pPr>
              <w:pStyle w:val="Compact"/>
              <w:jc w:val="left"/>
            </w:pPr>
            <w:r>
              <w:rPr>
                <w:sz w:val="18"/>
              </w:rPr>
              <w:t xml:space="preserve">Monitoreo de servidores, consultado por token</w:t>
            </w:r>
          </w:p>
        </w:tc>
        <w:tc>
          <w:tcPr>
            <w:tcW w:w="2119" w:type="dxa"/>
          </w:tcPr>
          <w:p>
            <w:pPr>
              <w:pStyle w:val="Compact"/>
              <w:jc w:val="left"/>
            </w:pPr>
            <w:r>
              <w:rPr>
                <w:sz w:val="18"/>
              </w:rPr>
              <w:t xml:space="preserve">Solo el PC de la API</w:t>
            </w:r>
          </w:p>
        </w:tc>
      </w:tr>
      <w:tr>
        <w:tc>
          <w:tcPr>
            <w:tcW w:w="2198" w:type="dxa"/>
          </w:tcPr>
          <w:p>
            <w:pPr>
              <w:pStyle w:val="Compact"/>
              <w:jc w:val="left"/>
            </w:pPr>
            <w:r>
              <w:rPr>
                <w:sz w:val="18"/>
              </w:rPr>
              <w:t xml:space="preserve">ESP32-S3 con DHT22</w:t>
            </w:r>
          </w:p>
        </w:tc>
        <w:tc>
          <w:tcPr>
            <w:tcW w:w="3601" w:type="dxa"/>
          </w:tcPr>
          <w:p>
            <w:pPr>
              <w:pStyle w:val="Compact"/>
              <w:jc w:val="left"/>
            </w:pPr>
            <w:r>
              <w:rPr>
                <w:sz w:val="18"/>
              </w:rPr>
              <w:t xml:space="preserve">Sensor de temperatura y humedad</w:t>
            </w:r>
          </w:p>
        </w:tc>
        <w:tc>
          <w:tcPr>
            <w:tcW w:w="2119" w:type="dxa"/>
          </w:tcPr>
          <w:p>
            <w:pPr>
              <w:pStyle w:val="Compact"/>
              <w:jc w:val="left"/>
            </w:pPr>
            <w:r>
              <w:rPr>
                <w:sz w:val="18"/>
              </w:rPr>
              <w:t xml:space="preserve">WiFi hacia la API por HTTP</w:t>
            </w:r>
          </w:p>
        </w:tc>
      </w:tr>
      <w:tr>
        <w:tc>
          <w:tcPr>
            <w:tcW w:w="2198" w:type="dxa"/>
          </w:tcPr>
          <w:p>
            <w:pPr>
              <w:pStyle w:val="Compact"/>
              <w:jc w:val="left"/>
            </w:pPr>
            <w:r>
              <w:rPr>
                <w:sz w:val="18"/>
              </w:rPr>
              <w:t xml:space="preserve">Servicios de correo y Microsoft 365</w:t>
            </w:r>
          </w:p>
        </w:tc>
        <w:tc>
          <w:tcPr>
            <w:tcW w:w="3601" w:type="dxa"/>
          </w:tcPr>
          <w:p>
            <w:pPr>
              <w:pStyle w:val="Compact"/>
              <w:jc w:val="left"/>
            </w:pPr>
            <w:r>
              <w:rPr>
                <w:sz w:val="18"/>
              </w:rPr>
              <w:t xml:space="preserve">SMTP para avisos, buzón IMAP y flujos de Forms, Power Automate, Teams y Outlook</w:t>
            </w:r>
          </w:p>
        </w:tc>
        <w:tc>
          <w:tcPr>
            <w:tcW w:w="2119" w:type="dxa"/>
          </w:tcPr>
          <w:p>
            <w:pPr>
              <w:pStyle w:val="Compact"/>
              <w:jc w:val="left"/>
            </w:pPr>
            <w:r>
              <w:rPr>
                <w:sz w:val="18"/>
              </w:rPr>
              <w:t xml:space="preserve">Internet</w:t>
            </w:r>
          </w:p>
        </w:tc>
      </w:tr>
    </w:tbl>
    <w:bookmarkStart w:id="48" w:name="escenario-e-05-caída-del-nodo-primary"/>
    <w:p>
      <w:pPr>
        <w:pStyle w:val="Heading3"/>
      </w:pPr>
      <w:r>
        <w:t xml:space="preserve">Escenario E-05: caída del nodo primary</w:t>
      </w:r>
    </w:p>
    <w:p>
      <w:pPr>
        <w:pStyle w:val="FirstParagraph"/>
        <w:spacing w:line="360" w:lineRule="auto" w:before="160" w:after="0"/>
        <w:ind w:firstLine="709"/>
        <w:jc w:val="both"/>
      </w:pPr>
      <w:r>
        <w:rPr>
          <w:sz w:val="22"/>
        </w:rPr>
        <w:t xml:space="preserve">La API se conecta siempre al Router y no a un nodo. Si cae el primary, el cluster elige otro y el Router redirige las escrituras, sin que SICMA cambie su configuración. La prueba de RNF-DIS-02 baja el primary y mide cuánto tarda en restablecerse la escritura, con una meta de 60 segundos o menos. Los procesos periódicos cierran las conexiones vencidas en cada pasada, lo que ayuda a que se reconecten después de una caída.</w:t>
      </w:r>
    </w:p>
    <w:bookmarkEnd w:id="48"/>
    <w:bookmarkEnd w:id="49"/>
    <w:bookmarkStart w:id="50" w:name="seguridad-en-la-arquitectura"/>
    <w:p>
      <w:pPr>
        <w:pStyle w:val="Heading2"/>
      </w:pPr>
      <w:r>
        <w:t xml:space="preserve">Seguridad en la arquitectura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08"/>
        <w:gridCol w:w="1911"/>
        <w:gridCol w:w="2099"/>
      </w:tblGrid>
      <w:tr>
        <w:trPr>
          <w:tblHeader w:val="true"/>
        </w:trPr>
        <w:tc>
          <w:tcPr>
            <w:tcW w:w="3908" w:type="dxa"/>
            <w:shd w:val="clear" w:color="auto" w:fill="D9E2F3"/>
          </w:tcPr>
          <w:p>
            <w:pPr>
              <w:pStyle w:val="Compact"/>
              <w:jc w:val="left"/>
            </w:pPr>
            <w:r>
              <w:rPr>
                <w:b/>
                <w:sz w:val="18"/>
              </w:rPr>
              <w:t xml:space="preserve">Control</w:t>
            </w:r>
          </w:p>
        </w:tc>
        <w:tc>
          <w:tcPr>
            <w:tcW w:w="1911" w:type="dxa"/>
            <w:shd w:val="clear" w:color="auto" w:fill="D9E2F3"/>
          </w:tcPr>
          <w:p>
            <w:pPr>
              <w:pStyle w:val="Compact"/>
              <w:jc w:val="left"/>
            </w:pPr>
            <w:r>
              <w:rPr>
                <w:b/>
                <w:sz w:val="18"/>
              </w:rPr>
              <w:t xml:space="preserve">Dónde está</w:t>
            </w:r>
          </w:p>
        </w:tc>
        <w:tc>
          <w:tcPr>
            <w:tcW w:w="2099" w:type="dxa"/>
            <w:shd w:val="clear" w:color="auto" w:fill="D9E2F3"/>
          </w:tcPr>
          <w:p>
            <w:pPr>
              <w:pStyle w:val="Compact"/>
              <w:jc w:val="left"/>
            </w:pPr>
            <w:r>
              <w:rPr>
                <w:b/>
                <w:sz w:val="18"/>
              </w:rPr>
              <w:t xml:space="preserve">Requerimiento</w:t>
            </w:r>
          </w:p>
        </w:tc>
      </w:tr>
      <w:tr>
        <w:tc>
          <w:tcPr>
            <w:tcW w:w="3908" w:type="dxa"/>
          </w:tcPr>
          <w:p>
            <w:pPr>
              <w:pStyle w:val="Compact"/>
              <w:jc w:val="left"/>
            </w:pPr>
            <w:r>
              <w:rPr>
                <w:sz w:val="18"/>
              </w:rPr>
              <w:t xml:space="preserve">JWT con refresco que respeta la inactividad, 15 minutos por defecto y configurable por usuario</w:t>
            </w:r>
          </w:p>
        </w:tc>
        <w:tc>
          <w:tcPr>
            <w:tcW w:w="1911" w:type="dxa"/>
          </w:tcPr>
          <w:p>
            <w:pPr>
              <w:pStyle w:val="Compact"/>
              <w:jc w:val="left"/>
            </w:pPr>
            <w:r>
              <w:rPr>
                <w:sz w:val="18"/>
              </w:rPr>
              <w:t xml:space="preserve">login</w:t>
            </w:r>
          </w:p>
        </w:tc>
        <w:tc>
          <w:tcPr>
            <w:tcW w:w="2099" w:type="dxa"/>
          </w:tcPr>
          <w:p>
            <w:pPr>
              <w:pStyle w:val="Compact"/>
              <w:jc w:val="left"/>
            </w:pPr>
            <w:r>
              <w:rPr>
                <w:sz w:val="18"/>
              </w:rPr>
              <w:t xml:space="preserve">RNF-SEG-01</w:t>
            </w:r>
          </w:p>
        </w:tc>
      </w:tr>
      <w:tr>
        <w:tc>
          <w:tcPr>
            <w:tcW w:w="3908" w:type="dxa"/>
          </w:tcPr>
          <w:p>
            <w:pPr>
              <w:pStyle w:val="Compact"/>
              <w:jc w:val="left"/>
            </w:pPr>
            <w:r>
              <w:rPr>
                <w:sz w:val="18"/>
              </w:rPr>
              <w:t xml:space="preserve">Bloqueo de cuenta tras 5 intentos fallidos durante 15 minutos</w:t>
            </w:r>
          </w:p>
        </w:tc>
        <w:tc>
          <w:tcPr>
            <w:tcW w:w="1911" w:type="dxa"/>
          </w:tcPr>
          <w:p>
            <w:pPr>
              <w:pStyle w:val="Compact"/>
              <w:jc w:val="left"/>
            </w:pPr>
            <w:r>
              <w:rPr>
                <w:sz w:val="18"/>
              </w:rPr>
              <w:t xml:space="preserve">login</w:t>
            </w:r>
          </w:p>
        </w:tc>
        <w:tc>
          <w:tcPr>
            <w:tcW w:w="2099" w:type="dxa"/>
          </w:tcPr>
          <w:p>
            <w:pPr>
              <w:pStyle w:val="Compact"/>
              <w:jc w:val="left"/>
            </w:pPr>
            <w:r>
              <w:rPr>
                <w:sz w:val="18"/>
              </w:rPr>
              <w:t xml:space="preserve">RNF-SEG-02</w:t>
            </w:r>
          </w:p>
        </w:tc>
      </w:tr>
      <w:tr>
        <w:tc>
          <w:tcPr>
            <w:tcW w:w="3908" w:type="dxa"/>
          </w:tcPr>
          <w:p>
            <w:pPr>
              <w:pStyle w:val="Compact"/>
              <w:jc w:val="left"/>
            </w:pPr>
            <w:r>
              <w:rPr>
                <w:sz w:val="18"/>
              </w:rPr>
              <w:t xml:space="preserve">Política de contraseñas con antigüedad máxima de 90 días y recuperación con enlace de 30 minutos</w:t>
            </w:r>
          </w:p>
        </w:tc>
        <w:tc>
          <w:tcPr>
            <w:tcW w:w="1911" w:type="dxa"/>
          </w:tcPr>
          <w:p>
            <w:pPr>
              <w:pStyle w:val="Compact"/>
              <w:jc w:val="left"/>
            </w:pPr>
            <w:r>
              <w:rPr>
                <w:sz w:val="18"/>
              </w:rPr>
              <w:t xml:space="preserve">login</w:t>
            </w:r>
          </w:p>
        </w:tc>
        <w:tc>
          <w:tcPr>
            <w:tcW w:w="2099" w:type="dxa"/>
          </w:tcPr>
          <w:p>
            <w:pPr>
              <w:pStyle w:val="Compact"/>
              <w:jc w:val="left"/>
            </w:pPr>
            <w:r>
              <w:rPr>
                <w:sz w:val="18"/>
              </w:rPr>
              <w:t xml:space="preserve">RNF-SEG-03, RF-ID-02, RF-ID-03</w:t>
            </w:r>
          </w:p>
        </w:tc>
      </w:tr>
      <w:tr>
        <w:tc>
          <w:tcPr>
            <w:tcW w:w="3908" w:type="dxa"/>
          </w:tcPr>
          <w:p>
            <w:pPr>
              <w:pStyle w:val="Compact"/>
              <w:jc w:val="left"/>
            </w:pPr>
            <w:r>
              <w:rPr>
                <w:sz w:val="18"/>
              </w:rPr>
              <w:t xml:space="preserve">Orígenes autorizados por CORS y orígenes de confianza para CSRF</w:t>
            </w:r>
          </w:p>
        </w:tc>
        <w:tc>
          <w:tcPr>
            <w:tcW w:w="1911" w:type="dxa"/>
          </w:tcPr>
          <w:p>
            <w:pPr>
              <w:pStyle w:val="Compact"/>
              <w:jc w:val="left"/>
            </w:pPr>
            <w:r>
              <w:rPr>
                <w:sz w:val="18"/>
              </w:rPr>
              <w:t xml:space="preserve">configuración</w:t>
            </w:r>
          </w:p>
        </w:tc>
        <w:tc>
          <w:tcPr>
            <w:tcW w:w="2099" w:type="dxa"/>
          </w:tcPr>
          <w:p>
            <w:pPr>
              <w:pStyle w:val="Compact"/>
              <w:jc w:val="left"/>
            </w:pPr>
            <w:r>
              <w:rPr>
                <w:sz w:val="18"/>
              </w:rPr>
              <w:t xml:space="preserve">RNF-SEG-04</w:t>
            </w:r>
          </w:p>
        </w:tc>
      </w:tr>
      <w:tr>
        <w:tc>
          <w:tcPr>
            <w:tcW w:w="3908" w:type="dxa"/>
          </w:tcPr>
          <w:p>
            <w:pPr>
              <w:pStyle w:val="Compact"/>
              <w:jc w:val="left"/>
            </w:pPr>
            <w:r>
              <w:rPr>
                <w:sz w:val="18"/>
              </w:rPr>
              <w:t xml:space="preserve">Límite de peticiones: 10 por minuto en el ingreso y 3 por hora en la recuperación, por la IP real que informa Cloudflare</w:t>
            </w:r>
          </w:p>
        </w:tc>
        <w:tc>
          <w:tcPr>
            <w:tcW w:w="1911" w:type="dxa"/>
          </w:tcPr>
          <w:p>
            <w:pPr>
              <w:pStyle w:val="Compact"/>
              <w:jc w:val="left"/>
            </w:pPr>
            <w:r>
              <w:rPr>
                <w:sz w:val="18"/>
              </w:rPr>
              <w:t xml:space="preserve">login</w:t>
            </w:r>
          </w:p>
        </w:tc>
        <w:tc>
          <w:tcPr>
            <w:tcW w:w="2099" w:type="dxa"/>
          </w:tcPr>
          <w:p>
            <w:pPr>
              <w:pStyle w:val="Compact"/>
              <w:jc w:val="left"/>
            </w:pPr>
            <w:r>
              <w:rPr>
                <w:sz w:val="18"/>
              </w:rPr>
              <w:t xml:space="preserve">RNF-SEG-02</w:t>
            </w:r>
          </w:p>
        </w:tc>
      </w:tr>
      <w:tr>
        <w:tc>
          <w:tcPr>
            <w:tcW w:w="3908" w:type="dxa"/>
          </w:tcPr>
          <w:p>
            <w:pPr>
              <w:pStyle w:val="Compact"/>
              <w:jc w:val="left"/>
            </w:pPr>
            <w:r>
              <w:rPr>
                <w:sz w:val="18"/>
              </w:rPr>
              <w:t xml:space="preserve">Permisos por rol declarados en cada vista</w:t>
            </w:r>
          </w:p>
        </w:tc>
        <w:tc>
          <w:tcPr>
            <w:tcW w:w="1911" w:type="dxa"/>
          </w:tcPr>
          <w:p>
            <w:pPr>
              <w:pStyle w:val="Compact"/>
              <w:jc w:val="left"/>
            </w:pPr>
            <w:r>
              <w:rPr>
                <w:sz w:val="18"/>
              </w:rPr>
              <w:t xml:space="preserve">login y cada app</w:t>
            </w:r>
          </w:p>
        </w:tc>
        <w:tc>
          <w:tcPr>
            <w:tcW w:w="2099" w:type="dxa"/>
          </w:tcPr>
          <w:p>
            <w:pPr>
              <w:pStyle w:val="Compact"/>
              <w:jc w:val="left"/>
            </w:pPr>
            <w:r>
              <w:rPr>
                <w:sz w:val="18"/>
              </w:rPr>
              <w:t xml:space="preserve">RNF-SEG-08</w:t>
            </w:r>
          </w:p>
        </w:tc>
      </w:tr>
      <w:tr>
        <w:tc>
          <w:tcPr>
            <w:tcW w:w="3908" w:type="dxa"/>
          </w:tcPr>
          <w:p>
            <w:pPr>
              <w:pStyle w:val="Compact"/>
              <w:jc w:val="left"/>
            </w:pPr>
            <w:r>
              <w:rPr>
                <w:sz w:val="18"/>
              </w:rPr>
              <w:t xml:space="preserve">Claves de sensores y de lectores guardadas con hash y enviadas por cabecera</w:t>
            </w:r>
          </w:p>
        </w:tc>
        <w:tc>
          <w:tcPr>
            <w:tcW w:w="1911" w:type="dxa"/>
          </w:tcPr>
          <w:p>
            <w:pPr>
              <w:pStyle w:val="Compact"/>
              <w:jc w:val="left"/>
            </w:pPr>
            <w:r>
              <w:rPr>
                <w:sz w:val="18"/>
              </w:rPr>
              <w:t xml:space="preserve">mediciones y accesos</w:t>
            </w:r>
          </w:p>
        </w:tc>
        <w:tc>
          <w:tcPr>
            <w:tcW w:w="2099" w:type="dxa"/>
          </w:tcPr>
          <w:p>
            <w:pPr>
              <w:pStyle w:val="Compact"/>
              <w:jc w:val="left"/>
            </w:pPr>
            <w:r>
              <w:rPr>
                <w:sz w:val="18"/>
              </w:rPr>
              <w:t xml:space="preserve">RF-AMB-01, RF-ACC-01</w:t>
            </w:r>
          </w:p>
        </w:tc>
      </w:tr>
      <w:tr>
        <w:tc>
          <w:tcPr>
            <w:tcW w:w="3908" w:type="dxa"/>
          </w:tcPr>
          <w:p>
            <w:pPr>
              <w:pStyle w:val="Compact"/>
              <w:jc w:val="left"/>
            </w:pPr>
            <w:r>
              <w:rPr>
                <w:sz w:val="18"/>
              </w:rPr>
              <w:t xml:space="preserve">Secretos solo en variables de entorno, nunca en el código ni en el frontend</w:t>
            </w:r>
          </w:p>
        </w:tc>
        <w:tc>
          <w:tcPr>
            <w:tcW w:w="1911" w:type="dxa"/>
          </w:tcPr>
          <w:p>
            <w:pPr>
              <w:pStyle w:val="Compact"/>
              <w:jc w:val="left"/>
            </w:pPr>
            <w:r>
              <w:rPr>
                <w:sz w:val="18"/>
              </w:rPr>
              <w:t xml:space="preserve">configuración</w:t>
            </w:r>
          </w:p>
        </w:tc>
        <w:tc>
          <w:tcPr>
            <w:tcW w:w="2099" w:type="dxa"/>
          </w:tcPr>
          <w:p>
            <w:pPr>
              <w:pStyle w:val="Compact"/>
              <w:jc w:val="left"/>
            </w:pPr>
            <w:r>
              <w:rPr>
                <w:sz w:val="18"/>
              </w:rPr>
              <w:t xml:space="preserve">CA-05 de SICMA-REQ</w:t>
            </w:r>
          </w:p>
        </w:tc>
      </w:tr>
      <w:tr>
        <w:tc>
          <w:tcPr>
            <w:tcW w:w="3908" w:type="dxa"/>
          </w:tcPr>
          <w:p>
            <w:pPr>
              <w:pStyle w:val="Compact"/>
              <w:jc w:val="left"/>
            </w:pPr>
            <w:r>
              <w:rPr>
                <w:sz w:val="18"/>
              </w:rPr>
              <w:t xml:space="preserve">Política de seguridad de contenido y bloqueo de iframes en la web</w:t>
            </w:r>
          </w:p>
        </w:tc>
        <w:tc>
          <w:tcPr>
            <w:tcW w:w="1911" w:type="dxa"/>
          </w:tcPr>
          <w:p>
            <w:pPr>
              <w:pStyle w:val="Compact"/>
              <w:jc w:val="left"/>
            </w:pPr>
            <w:r>
              <w:rPr>
                <w:sz w:val="18"/>
              </w:rPr>
              <w:t xml:space="preserve">frontend publicado</w:t>
            </w:r>
          </w:p>
        </w:tc>
        <w:tc>
          <w:tcPr>
            <w:tcW w:w="2099" w:type="dxa"/>
          </w:tcPr>
          <w:p>
            <w:pPr>
              <w:pStyle w:val="Compact"/>
              <w:jc w:val="left"/>
            </w:pPr>
            <w:r>
              <w:rPr>
                <w:sz w:val="18"/>
              </w:rPr>
              <w:t xml:space="preserve">RNF-SEG-09</w:t>
            </w:r>
          </w:p>
        </w:tc>
      </w:tr>
    </w:tbl>
    <w:p>
      <w:pPr>
        <w:pStyle w:val="BodyText"/>
        <w:spacing w:line="360" w:lineRule="auto" w:before="160" w:after="0"/>
        <w:ind w:firstLine="709"/>
        <w:jc w:val="both"/>
      </w:pPr>
      <w:r>
        <w:rPr>
          <w:sz w:val="22"/>
        </w:rPr>
        <w:t xml:space="preserve">La comunicación entre el sensor y la API y entre el agente y la API usa HTTP dentro de la red del proyecto. Solo la web, la app y el túnel van por HTTPS. Si RNF-SEG-07 exige TLS en toda comunicación, estos tramos son una brecha (D-02).</w:t>
      </w:r>
    </w:p>
    <w:bookmarkEnd w:id="50"/>
    <w:bookmarkStart w:id="55" w:name="monitoreo-y-registro-de-eventos"/>
    <w:p>
      <w:pPr>
        <w:pStyle w:val="Heading2"/>
      </w:pPr>
      <w:r>
        <w:t xml:space="preserve">Monitoreo y registro de eventos</w:t>
      </w:r>
    </w:p>
    <w:bookmarkStart w:id="51" w:name="monitoreo-de-la-infraestructura"/>
    <w:p>
      <w:pPr>
        <w:pStyle w:val="Heading3"/>
      </w:pPr>
      <w:r>
        <w:t xml:space="preserve">Monitoreo de la infraestructura</w:t>
      </w:r>
    </w:p>
    <w:p>
      <w:pPr>
        <w:pStyle w:val="FirstParagraph"/>
        <w:spacing w:line="360" w:lineRule="auto" w:before="160" w:after="0"/>
        <w:ind w:firstLine="709"/>
        <w:jc w:val="both"/>
      </w:pPr>
      <w:r>
        <w:rPr>
          <w:sz w:val="22"/>
        </w:rPr>
        <w:t xml:space="preserve">SICMA no es un sistema de monitoreo en sí mismo: usa Zabbix para los servidores y sensores propios para el ambiente, y los junta en un solo lugar. Zabbix se consulta cada minuto por su API con un token y también envía los problemas por webhook, que se valida con un secreto compartido. Si la última sincronización exitosa tiene más de tres minutos, las vistas consultan a Zabbix en directo.</w:t>
      </w:r>
    </w:p>
    <w:bookmarkEnd w:id="51"/>
    <w:bookmarkStart w:id="52" w:name="registro-de-eventos-de-la-aplicación"/>
    <w:p>
      <w:pPr>
        <w:pStyle w:val="Heading3"/>
      </w:pPr>
      <w:r>
        <w:t xml:space="preserve">Registro de eventos de la aplicación</w:t>
      </w:r>
    </w:p>
    <w:p>
      <w:pPr>
        <w:pStyle w:val="FirstParagraph"/>
        <w:spacing w:line="360" w:lineRule="auto" w:before="160" w:after="0"/>
        <w:ind w:firstLine="709"/>
        <w:jc w:val="both"/>
      </w:pPr>
      <w:r>
        <w:rPr>
          <w:sz w:val="22"/>
        </w:rPr>
        <w:t xml:space="preserve">Cada módulo del backend usa el registro estándar de Python (</w:t>
      </w:r>
      <w:r>
        <w:rPr>
          <w:rStyle w:val="VerbatimChar"/>
          <w:sz w:val="22"/>
        </w:rPr>
        <w:t xml:space="preserve">logging</w:t>
      </w:r>
      <w:r>
        <w:rPr>
          <w:sz w:val="22"/>
        </w:rPr>
        <w:t xml:space="preserve">) con un logger por módulo, y los procesos periódicos escriben cada pasada en la salida estándar con su hora. Esto permite seguir lo que hace SICMA, pero el proyecto no define una configuración de registro propia (</w:t>
      </w:r>
      <w:r>
        <w:rPr>
          <w:rStyle w:val="VerbatimChar"/>
          <w:sz w:val="22"/>
        </w:rPr>
        <w:t xml:space="preserve">LOGGING</w:t>
      </w:r>
      <w:r>
        <w:rPr>
          <w:sz w:val="22"/>
        </w:rPr>
        <w:t xml:space="preserve">), por lo que los mensajes informativos no se guardan en un archivo ni se rotan.</w:t>
      </w:r>
    </w:p>
    <w:bookmarkEnd w:id="52"/>
    <w:bookmarkStart w:id="53" w:name="registro-de-auditoría-en-base-de-datos"/>
    <w:p>
      <w:pPr>
        <w:pStyle w:val="Heading3"/>
      </w:pPr>
      <w:r>
        <w:t xml:space="preserve">Registro de auditoría en base de datos</w:t>
      </w:r>
    </w:p>
    <w:p>
      <w:pPr>
        <w:pStyle w:val="FirstParagraph"/>
        <w:spacing w:line="360" w:lineRule="auto" w:before="160" w:after="0"/>
        <w:ind w:firstLine="709"/>
        <w:jc w:val="both"/>
      </w:pPr>
      <w:r>
        <w:rPr>
          <w:sz w:val="22"/>
        </w:rPr>
        <w:t xml:space="preserve">Los hechos que importan para trazabilidad se guardan como datos y no como texto de registro:</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4510"/>
        <w:gridCol w:w="3409"/>
      </w:tblGrid>
      <w:tr>
        <w:trPr>
          <w:tblHeader w:val="true"/>
        </w:trPr>
        <w:tc>
          <w:tcPr>
            <w:tcW w:w="4510" w:type="dxa"/>
            <w:shd w:val="clear" w:color="auto" w:fill="D9E2F3"/>
          </w:tcPr>
          <w:p>
            <w:pPr>
              <w:pStyle w:val="Compact"/>
              <w:jc w:val="left"/>
            </w:pPr>
            <w:r>
              <w:rPr>
                <w:b/>
                <w:sz w:val="18"/>
              </w:rPr>
              <w:t xml:space="preserve">Hecho</w:t>
            </w:r>
          </w:p>
        </w:tc>
        <w:tc>
          <w:tcPr>
            <w:tcW w:w="3409" w:type="dxa"/>
            <w:shd w:val="clear" w:color="auto" w:fill="D9E2F3"/>
          </w:tcPr>
          <w:p>
            <w:pPr>
              <w:pStyle w:val="Compact"/>
              <w:jc w:val="left"/>
            </w:pPr>
            <w:r>
              <w:rPr>
                <w:b/>
                <w:sz w:val="18"/>
              </w:rPr>
              <w:t xml:space="preserve">Tabla</w:t>
            </w:r>
          </w:p>
        </w:tc>
      </w:tr>
      <w:tr>
        <w:tc>
          <w:tcPr>
            <w:tcW w:w="4510" w:type="dxa"/>
          </w:tcPr>
          <w:p>
            <w:pPr>
              <w:pStyle w:val="Compact"/>
              <w:jc w:val="left"/>
            </w:pPr>
            <w:r>
              <w:rPr>
                <w:sz w:val="18"/>
              </w:rPr>
              <w:t xml:space="preserve">Cambios en un activo</w:t>
            </w:r>
          </w:p>
        </w:tc>
        <w:tc>
          <w:tcPr>
            <w:tcW w:w="3409" w:type="dxa"/>
          </w:tcPr>
          <w:p>
            <w:pPr>
              <w:pStyle w:val="Compact"/>
              <w:jc w:val="left"/>
            </w:pPr>
            <w:r>
              <w:rPr>
                <w:sz w:val="18"/>
              </w:rPr>
              <w:t xml:space="preserve">HistorialActivo</w:t>
            </w:r>
          </w:p>
        </w:tc>
      </w:tr>
      <w:tr>
        <w:tc>
          <w:tcPr>
            <w:tcW w:w="4510" w:type="dxa"/>
          </w:tcPr>
          <w:p>
            <w:pPr>
              <w:pStyle w:val="Compact"/>
              <w:jc w:val="left"/>
            </w:pPr>
            <w:r>
              <w:rPr>
                <w:sz w:val="18"/>
              </w:rPr>
              <w:t xml:space="preserve">Cada intento de acceso, permitido o denegado</w:t>
            </w:r>
          </w:p>
        </w:tc>
        <w:tc>
          <w:tcPr>
            <w:tcW w:w="3409" w:type="dxa"/>
          </w:tcPr>
          <w:p>
            <w:pPr>
              <w:pStyle w:val="Compact"/>
              <w:jc w:val="left"/>
            </w:pPr>
            <w:r>
              <w:rPr>
                <w:sz w:val="18"/>
              </w:rPr>
              <w:t xml:space="preserve">EventoAcceso</w:t>
            </w:r>
          </w:p>
        </w:tc>
      </w:tr>
      <w:tr>
        <w:tc>
          <w:tcPr>
            <w:tcW w:w="4510" w:type="dxa"/>
          </w:tcPr>
          <w:p>
            <w:pPr>
              <w:pStyle w:val="Compact"/>
              <w:jc w:val="left"/>
            </w:pPr>
            <w:r>
              <w:rPr>
                <w:sz w:val="18"/>
              </w:rPr>
              <w:t xml:space="preserve">Cambios de habilitación de una persona</w:t>
            </w:r>
          </w:p>
        </w:tc>
        <w:tc>
          <w:tcPr>
            <w:tcW w:w="3409" w:type="dxa"/>
          </w:tcPr>
          <w:p>
            <w:pPr>
              <w:pStyle w:val="Compact"/>
              <w:jc w:val="left"/>
            </w:pPr>
            <w:r>
              <w:rPr>
                <w:sz w:val="18"/>
              </w:rPr>
              <w:t xml:space="preserve">CambioHabilitacion</w:t>
            </w:r>
          </w:p>
        </w:tc>
      </w:tr>
      <w:tr>
        <w:tc>
          <w:tcPr>
            <w:tcW w:w="4510" w:type="dxa"/>
          </w:tcPr>
          <w:p>
            <w:pPr>
              <w:pStyle w:val="Compact"/>
              <w:jc w:val="left"/>
            </w:pPr>
            <w:r>
              <w:rPr>
                <w:sz w:val="18"/>
              </w:rPr>
              <w:t xml:space="preserve">Decisión sobre una intervención</w:t>
            </w:r>
          </w:p>
        </w:tc>
        <w:tc>
          <w:tcPr>
            <w:tcW w:w="3409" w:type="dxa"/>
          </w:tcPr>
          <w:p>
            <w:pPr>
              <w:pStyle w:val="Compact"/>
              <w:jc w:val="left"/>
            </w:pPr>
            <w:r>
              <w:rPr>
                <w:sz w:val="18"/>
              </w:rPr>
              <w:t xml:space="preserve">DecisionIntervencion</w:t>
            </w:r>
          </w:p>
        </w:tc>
      </w:tr>
      <w:tr>
        <w:tc>
          <w:tcPr>
            <w:tcW w:w="4510" w:type="dxa"/>
          </w:tcPr>
          <w:p>
            <w:pPr>
              <w:pStyle w:val="Compact"/>
              <w:jc w:val="left"/>
            </w:pPr>
            <w:r>
              <w:rPr>
                <w:sz w:val="18"/>
              </w:rPr>
              <w:t xml:space="preserve">Reconocimiento y cierre de una alerta</w:t>
            </w:r>
          </w:p>
        </w:tc>
        <w:tc>
          <w:tcPr>
            <w:tcW w:w="3409" w:type="dxa"/>
          </w:tcPr>
          <w:p>
            <w:pPr>
              <w:pStyle w:val="Compact"/>
              <w:jc w:val="left"/>
            </w:pPr>
            <w:r>
              <w:rPr>
                <w:sz w:val="18"/>
              </w:rPr>
              <w:t xml:space="preserve">GestionAlerta</w:t>
            </w:r>
          </w:p>
        </w:tc>
      </w:tr>
      <w:tr>
        <w:tc>
          <w:tcPr>
            <w:tcW w:w="4510" w:type="dxa"/>
          </w:tcPr>
          <w:p>
            <w:pPr>
              <w:pStyle w:val="Compact"/>
              <w:jc w:val="left"/>
            </w:pPr>
            <w:r>
              <w:rPr>
                <w:sz w:val="18"/>
              </w:rPr>
              <w:t xml:space="preserve">Avisos enviados</w:t>
            </w:r>
          </w:p>
        </w:tc>
        <w:tc>
          <w:tcPr>
            <w:tcW w:w="3409" w:type="dxa"/>
          </w:tcPr>
          <w:p>
            <w:pPr>
              <w:pStyle w:val="Compact"/>
              <w:jc w:val="left"/>
            </w:pPr>
            <w:r>
              <w:rPr>
                <w:sz w:val="18"/>
              </w:rPr>
              <w:t xml:space="preserve">Notificacion</w:t>
            </w:r>
          </w:p>
        </w:tc>
      </w:tr>
      <w:tr>
        <w:tc>
          <w:tcPr>
            <w:tcW w:w="4510" w:type="dxa"/>
          </w:tcPr>
          <w:p>
            <w:pPr>
              <w:pStyle w:val="Compact"/>
              <w:jc w:val="left"/>
            </w:pPr>
            <w:r>
              <w:rPr>
                <w:sz w:val="18"/>
              </w:rPr>
              <w:t xml:space="preserve">Problemas reportados por Zabbix</w:t>
            </w:r>
          </w:p>
        </w:tc>
        <w:tc>
          <w:tcPr>
            <w:tcW w:w="3409" w:type="dxa"/>
          </w:tcPr>
          <w:p>
            <w:pPr>
              <w:pStyle w:val="Compact"/>
              <w:jc w:val="left"/>
            </w:pPr>
            <w:r>
              <w:rPr>
                <w:sz w:val="18"/>
              </w:rPr>
              <w:t xml:space="preserve">HostProblemaZabbix</w:t>
            </w:r>
          </w:p>
        </w:tc>
      </w:tr>
      <w:tr>
        <w:tc>
          <w:tcPr>
            <w:tcW w:w="4510" w:type="dxa"/>
          </w:tcPr>
          <w:p>
            <w:pPr>
              <w:pStyle w:val="Compact"/>
              <w:jc w:val="left"/>
            </w:pPr>
            <w:r>
              <w:rPr>
                <w:sz w:val="18"/>
              </w:rPr>
              <w:t xml:space="preserve">Intentos fallidos y bloqueo de cuenta</w:t>
            </w:r>
          </w:p>
        </w:tc>
        <w:tc>
          <w:tcPr>
            <w:tcW w:w="3409" w:type="dxa"/>
          </w:tcPr>
          <w:p>
            <w:pPr>
              <w:pStyle w:val="Compact"/>
              <w:jc w:val="left"/>
            </w:pPr>
            <w:r>
              <w:rPr>
                <w:sz w:val="18"/>
              </w:rPr>
              <w:t xml:space="preserve">UserSessionSettings</w:t>
            </w:r>
          </w:p>
        </w:tc>
      </w:tr>
    </w:tbl>
    <w:bookmarkEnd w:id="53"/>
    <w:bookmarkStart w:id="54" w:name="brechas-y-propuesta"/>
    <w:p>
      <w:pPr>
        <w:pStyle w:val="Heading3"/>
      </w:pPr>
      <w:r>
        <w:t xml:space="preserve">Brechas y propuesta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098"/>
        <w:gridCol w:w="3361"/>
        <w:gridCol w:w="1460"/>
      </w:tblGrid>
      <w:tr>
        <w:trPr>
          <w:tblHeader w:val="true"/>
        </w:trPr>
        <w:tc>
          <w:tcPr>
            <w:tcW w:w="3098" w:type="dxa"/>
            <w:shd w:val="clear" w:color="auto" w:fill="D9E2F3"/>
          </w:tcPr>
          <w:p>
            <w:pPr>
              <w:pStyle w:val="Compact"/>
              <w:jc w:val="left"/>
            </w:pPr>
            <w:r>
              <w:rPr>
                <w:b/>
                <w:sz w:val="18"/>
              </w:rPr>
              <w:t xml:space="preserve">Brecha</w:t>
            </w:r>
          </w:p>
        </w:tc>
        <w:tc>
          <w:tcPr>
            <w:tcW w:w="3361" w:type="dxa"/>
            <w:shd w:val="clear" w:color="auto" w:fill="D9E2F3"/>
          </w:tcPr>
          <w:p>
            <w:pPr>
              <w:pStyle w:val="Compact"/>
              <w:jc w:val="left"/>
            </w:pPr>
            <w:r>
              <w:rPr>
                <w:b/>
                <w:sz w:val="18"/>
              </w:rPr>
              <w:t xml:space="preserve">Propuesta</w:t>
            </w:r>
          </w:p>
        </w:tc>
        <w:tc>
          <w:tcPr>
            <w:tcW w:w="1460" w:type="dxa"/>
            <w:shd w:val="clear" w:color="auto" w:fill="D9E2F3"/>
          </w:tcPr>
          <w:p>
            <w:pPr>
              <w:pStyle w:val="Compact"/>
              <w:jc w:val="left"/>
            </w:pPr>
            <w:r>
              <w:rPr>
                <w:b/>
                <w:sz w:val="18"/>
              </w:rPr>
              <w:t xml:space="preserve">Esfuerzo</w:t>
            </w:r>
          </w:p>
        </w:tc>
      </w:tr>
      <w:tr>
        <w:tc>
          <w:tcPr>
            <w:tcW w:w="3098" w:type="dxa"/>
          </w:tcPr>
          <w:p>
            <w:pPr>
              <w:pStyle w:val="Compact"/>
              <w:jc w:val="left"/>
            </w:pPr>
            <w:r>
              <w:rPr>
                <w:sz w:val="18"/>
              </w:rPr>
              <w:t xml:space="preserve">Sin configuración de registro con archivo y rotación</w:t>
            </w:r>
          </w:p>
        </w:tc>
        <w:tc>
          <w:tcPr>
            <w:tcW w:w="3361" w:type="dxa"/>
          </w:tcPr>
          <w:p>
            <w:pPr>
              <w:pStyle w:val="Compact"/>
              <w:jc w:val="left"/>
            </w:pPr>
            <w:r>
              <w:rPr>
                <w:sz w:val="18"/>
              </w:rPr>
              <w:t xml:space="preserve">Definir</w:t>
            </w:r>
            <w:r>
              <w:rPr>
                <w:sz w:val="18"/>
              </w:rPr>
              <w:t xml:space="preserve"> </w:t>
            </w:r>
            <w:r>
              <w:rPr>
                <w:rStyle w:val="VerbatimChar"/>
                <w:sz w:val="18"/>
              </w:rPr>
              <w:t xml:space="preserve">LOGGING</w:t>
            </w:r>
            <w:r>
              <w:rPr>
                <w:sz w:val="18"/>
              </w:rPr>
              <w:t xml:space="preserve"> </w:t>
            </w:r>
            <w:r>
              <w:rPr>
                <w:sz w:val="18"/>
              </w:rPr>
              <w:t xml:space="preserve">con archivo rotativo y nivel INFO</w:t>
            </w:r>
          </w:p>
        </w:tc>
        <w:tc>
          <w:tcPr>
            <w:tcW w:w="1460" w:type="dxa"/>
          </w:tcPr>
          <w:p>
            <w:pPr>
              <w:pStyle w:val="Compact"/>
              <w:jc w:val="left"/>
            </w:pPr>
            <w:r>
              <w:rPr>
                <w:sz w:val="18"/>
              </w:rPr>
              <w:t xml:space="preserve">Bajo</w:t>
            </w:r>
          </w:p>
        </w:tc>
      </w:tr>
      <w:tr>
        <w:tc>
          <w:tcPr>
            <w:tcW w:w="3098" w:type="dxa"/>
          </w:tcPr>
          <w:p>
            <w:pPr>
              <w:pStyle w:val="Compact"/>
              <w:jc w:val="left"/>
            </w:pPr>
            <w:r>
              <w:rPr>
                <w:sz w:val="18"/>
              </w:rPr>
              <w:t xml:space="preserve">Sin indicador de salud de SICMA</w:t>
            </w:r>
          </w:p>
        </w:tc>
        <w:tc>
          <w:tcPr>
            <w:tcW w:w="3361" w:type="dxa"/>
          </w:tcPr>
          <w:p>
            <w:pPr>
              <w:pStyle w:val="Compact"/>
              <w:jc w:val="left"/>
            </w:pPr>
            <w:r>
              <w:rPr>
                <w:sz w:val="18"/>
              </w:rPr>
              <w:t xml:space="preserve">Agregar una ruta de salud que revise la base de datos y la última sincronización</w:t>
            </w:r>
          </w:p>
        </w:tc>
        <w:tc>
          <w:tcPr>
            <w:tcW w:w="1460" w:type="dxa"/>
          </w:tcPr>
          <w:p>
            <w:pPr>
              <w:pStyle w:val="Compact"/>
              <w:jc w:val="left"/>
            </w:pPr>
            <w:r>
              <w:rPr>
                <w:sz w:val="18"/>
              </w:rPr>
              <w:t xml:space="preserve">Bajo</w:t>
            </w:r>
          </w:p>
        </w:tc>
      </w:tr>
      <w:tr>
        <w:tc>
          <w:tcPr>
            <w:tcW w:w="3098" w:type="dxa"/>
          </w:tcPr>
          <w:p>
            <w:pPr>
              <w:pStyle w:val="Compact"/>
              <w:jc w:val="left"/>
            </w:pPr>
            <w:r>
              <w:rPr>
                <w:sz w:val="18"/>
              </w:rPr>
              <w:t xml:space="preserve">Los procesos periódicos solo escriben en la consola</w:t>
            </w:r>
          </w:p>
        </w:tc>
        <w:tc>
          <w:tcPr>
            <w:tcW w:w="3361" w:type="dxa"/>
          </w:tcPr>
          <w:p>
            <w:pPr>
              <w:pStyle w:val="Compact"/>
              <w:jc w:val="left"/>
            </w:pPr>
            <w:r>
              <w:rPr>
                <w:sz w:val="18"/>
              </w:rPr>
              <w:t xml:space="preserve">Dirigir su salida a los mismos archivos</w:t>
            </w:r>
          </w:p>
        </w:tc>
        <w:tc>
          <w:tcPr>
            <w:tcW w:w="1460" w:type="dxa"/>
          </w:tcPr>
          <w:p>
            <w:pPr>
              <w:pStyle w:val="Compact"/>
              <w:jc w:val="left"/>
            </w:pPr>
            <w:r>
              <w:rPr>
                <w:sz w:val="18"/>
              </w:rPr>
              <w:t xml:space="preserve">Bajo</w:t>
            </w:r>
          </w:p>
        </w:tc>
      </w:tr>
      <w:tr>
        <w:tc>
          <w:tcPr>
            <w:tcW w:w="3098" w:type="dxa"/>
          </w:tcPr>
          <w:p>
            <w:pPr>
              <w:pStyle w:val="Compact"/>
              <w:jc w:val="left"/>
            </w:pPr>
            <w:r>
              <w:rPr>
                <w:sz w:val="18"/>
              </w:rPr>
              <w:t xml:space="preserve">Sin alertas sobre fallas del propio SICMA</w:t>
            </w:r>
          </w:p>
        </w:tc>
        <w:tc>
          <w:tcPr>
            <w:tcW w:w="3361" w:type="dxa"/>
          </w:tcPr>
          <w:p>
            <w:pPr>
              <w:pStyle w:val="Compact"/>
              <w:jc w:val="left"/>
            </w:pPr>
            <w:r>
              <w:rPr>
                <w:sz w:val="18"/>
              </w:rPr>
              <w:t xml:space="preserve">Monitorear los cuatro procesos con Zabbix</w:t>
            </w:r>
          </w:p>
        </w:tc>
        <w:tc>
          <w:tcPr>
            <w:tcW w:w="1460" w:type="dxa"/>
          </w:tcPr>
          <w:p>
            <w:pPr>
              <w:pStyle w:val="Compact"/>
              <w:jc w:val="left"/>
            </w:pPr>
            <w:r>
              <w:rPr>
                <w:sz w:val="18"/>
              </w:rPr>
              <w:t xml:space="preserve">Medio</w:t>
            </w:r>
          </w:p>
        </w:tc>
      </w:tr>
      <w:tr>
        <w:tc>
          <w:tcPr>
            <w:tcW w:w="3098" w:type="dxa"/>
          </w:tcPr>
          <w:p>
            <w:pPr>
              <w:pStyle w:val="Compact"/>
              <w:jc w:val="left"/>
            </w:pPr>
            <w:r>
              <w:rPr>
                <w:sz w:val="18"/>
              </w:rPr>
              <w:t xml:space="preserve">Sin política de retención de registros</w:t>
            </w:r>
          </w:p>
        </w:tc>
        <w:tc>
          <w:tcPr>
            <w:tcW w:w="3361" w:type="dxa"/>
          </w:tcPr>
          <w:p>
            <w:pPr>
              <w:pStyle w:val="Compact"/>
              <w:jc w:val="left"/>
            </w:pPr>
            <w:r>
              <w:rPr>
                <w:sz w:val="18"/>
              </w:rPr>
              <w:t xml:space="preserve">Definir plazos junto con SICMA-ESO (D-01 de SICMA-ESO)</w:t>
            </w:r>
          </w:p>
        </w:tc>
        <w:tc>
          <w:tcPr>
            <w:tcW w:w="1460" w:type="dxa"/>
          </w:tcPr>
          <w:p>
            <w:pPr>
              <w:pStyle w:val="Compact"/>
              <w:jc w:val="left"/>
            </w:pPr>
            <w:r>
              <w:rPr>
                <w:sz w:val="18"/>
              </w:rPr>
              <w:t xml:space="preserve">Medio</w:t>
            </w:r>
          </w:p>
        </w:tc>
      </w:tr>
    </w:tbl>
    <w:p>
      <w:pPr>
        <w:pStyle w:val="BodyText"/>
        <w:spacing w:line="360" w:lineRule="auto" w:before="160" w:after="0"/>
        <w:ind w:firstLine="709"/>
        <w:jc w:val="both"/>
      </w:pPr>
      <w:r>
        <w:rPr>
          <w:sz w:val="22"/>
        </w:rPr>
        <w:t xml:space="preserve">La propuesta sigue la línea de OWASP, que incluye el registro y monitoreo insuficientes entre los diez riesgos principales [12].</w:t>
      </w:r>
    </w:p>
    <w:bookmarkEnd w:id="54"/>
    <w:bookmarkEnd w:id="55"/>
    <w:bookmarkStart w:id="56" w:name="decisiones-de-arquitectura"/>
    <w:p>
      <w:pPr>
        <w:pStyle w:val="Heading2"/>
      </w:pPr>
      <w:r>
        <w:t xml:space="preserve">Decisiones de arquitectura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929"/>
        <w:gridCol w:w="2151"/>
        <w:gridCol w:w="2372"/>
        <w:gridCol w:w="2466"/>
      </w:tblGrid>
      <w:tr>
        <w:trPr>
          <w:tblHeader w:val="true"/>
        </w:trPr>
        <w:tc>
          <w:tcPr>
            <w:tcW w:w="929" w:type="dxa"/>
            <w:shd w:val="clear" w:color="auto" w:fill="D9E2F3"/>
          </w:tcPr>
          <w:p>
            <w:pPr>
              <w:pStyle w:val="Compact"/>
              <w:jc w:val="left"/>
            </w:pPr>
            <w:r>
              <w:rPr>
                <w:b/>
                <w:sz w:val="18"/>
              </w:rPr>
              <w:t xml:space="preserve">ID</w:t>
            </w:r>
          </w:p>
        </w:tc>
        <w:tc>
          <w:tcPr>
            <w:tcW w:w="2151" w:type="dxa"/>
            <w:shd w:val="clear" w:color="auto" w:fill="D9E2F3"/>
          </w:tcPr>
          <w:p>
            <w:pPr>
              <w:pStyle w:val="Compact"/>
              <w:jc w:val="left"/>
            </w:pPr>
            <w:r>
              <w:rPr>
                <w:b/>
                <w:sz w:val="18"/>
              </w:rPr>
              <w:t xml:space="preserve">Decisión</w:t>
            </w:r>
          </w:p>
        </w:tc>
        <w:tc>
          <w:tcPr>
            <w:tcW w:w="2372" w:type="dxa"/>
            <w:shd w:val="clear" w:color="auto" w:fill="D9E2F3"/>
          </w:tcPr>
          <w:p>
            <w:pPr>
              <w:pStyle w:val="Compact"/>
              <w:jc w:val="left"/>
            </w:pPr>
            <w:r>
              <w:rPr>
                <w:b/>
                <w:sz w:val="18"/>
              </w:rPr>
              <w:t xml:space="preserve">Motivo</w:t>
            </w:r>
          </w:p>
        </w:tc>
        <w:tc>
          <w:tcPr>
            <w:tcW w:w="2466" w:type="dxa"/>
            <w:shd w:val="clear" w:color="auto" w:fill="D9E2F3"/>
          </w:tcPr>
          <w:p>
            <w:pPr>
              <w:pStyle w:val="Compact"/>
              <w:jc w:val="left"/>
            </w:pPr>
            <w:r>
              <w:rPr>
                <w:b/>
                <w:sz w:val="18"/>
              </w:rPr>
              <w:t xml:space="preserve">Consecuencia</w:t>
            </w:r>
          </w:p>
        </w:tc>
      </w:tr>
      <w:tr>
        <w:tc>
          <w:tcPr>
            <w:tcW w:w="929" w:type="dxa"/>
          </w:tcPr>
          <w:p>
            <w:pPr>
              <w:pStyle w:val="Compact"/>
              <w:jc w:val="left"/>
            </w:pPr>
            <w:r>
              <w:rPr>
                <w:sz w:val="18"/>
              </w:rPr>
              <w:t xml:space="preserve">AD-01</w:t>
            </w:r>
          </w:p>
        </w:tc>
        <w:tc>
          <w:tcPr>
            <w:tcW w:w="2151" w:type="dxa"/>
          </w:tcPr>
          <w:p>
            <w:pPr>
              <w:pStyle w:val="Compact"/>
              <w:jc w:val="left"/>
            </w:pPr>
            <w:r>
              <w:rPr>
                <w:sz w:val="18"/>
              </w:rPr>
              <w:t xml:space="preserve">Monolito modular en Django con siete apps</w:t>
            </w:r>
          </w:p>
        </w:tc>
        <w:tc>
          <w:tcPr>
            <w:tcW w:w="2372" w:type="dxa"/>
          </w:tcPr>
          <w:p>
            <w:pPr>
              <w:pStyle w:val="Compact"/>
              <w:jc w:val="left"/>
            </w:pPr>
            <w:r>
              <w:rPr>
                <w:sz w:val="18"/>
              </w:rPr>
              <w:t xml:space="preserve">Equipo de tres personas y 18 semanas; una sola base de código y un solo despliegue</w:t>
            </w:r>
          </w:p>
        </w:tc>
        <w:tc>
          <w:tcPr>
            <w:tcW w:w="2466" w:type="dxa"/>
          </w:tcPr>
          <w:p>
            <w:pPr>
              <w:pStyle w:val="Compact"/>
              <w:jc w:val="left"/>
            </w:pPr>
            <w:r>
              <w:rPr>
                <w:sz w:val="18"/>
              </w:rPr>
              <w:t xml:space="preserve">Escalar un módulo por separado no es posible, aunque el prototipo no lo necesita</w:t>
            </w:r>
          </w:p>
        </w:tc>
      </w:tr>
      <w:tr>
        <w:tc>
          <w:tcPr>
            <w:tcW w:w="929" w:type="dxa"/>
          </w:tcPr>
          <w:p>
            <w:pPr>
              <w:pStyle w:val="Compact"/>
              <w:jc w:val="left"/>
            </w:pPr>
            <w:r>
              <w:rPr>
                <w:sz w:val="18"/>
              </w:rPr>
              <w:t xml:space="preserve">AD-02</w:t>
            </w:r>
          </w:p>
        </w:tc>
        <w:tc>
          <w:tcPr>
            <w:tcW w:w="2151" w:type="dxa"/>
          </w:tcPr>
          <w:p>
            <w:pPr>
              <w:pStyle w:val="Compact"/>
              <w:jc w:val="left"/>
            </w:pPr>
            <w:r>
              <w:rPr>
                <w:sz w:val="18"/>
              </w:rPr>
              <w:t xml:space="preserve">Zabbix por consulta cada minuto y por webhook</w:t>
            </w:r>
          </w:p>
        </w:tc>
        <w:tc>
          <w:tcPr>
            <w:tcW w:w="2372" w:type="dxa"/>
          </w:tcPr>
          <w:p>
            <w:pPr>
              <w:pStyle w:val="Compact"/>
              <w:jc w:val="left"/>
            </w:pPr>
            <w:r>
              <w:rPr>
                <w:sz w:val="18"/>
              </w:rPr>
              <w:t xml:space="preserve">La consulta cubre los períodos en que SICMA estuvo detenido y el webhook baja la demora</w:t>
            </w:r>
          </w:p>
        </w:tc>
        <w:tc>
          <w:tcPr>
            <w:tcW w:w="2466" w:type="dxa"/>
          </w:tcPr>
          <w:p>
            <w:pPr>
              <w:pStyle w:val="Compact"/>
              <w:jc w:val="left"/>
            </w:pPr>
            <w:r>
              <w:rPr>
                <w:sz w:val="18"/>
              </w:rPr>
              <w:t xml:space="preserve">Dos caminos que hay que conciliar, lo que hace</w:t>
            </w:r>
            <w:r>
              <w:rPr>
                <w:sz w:val="18"/>
              </w:rPr>
              <w:t xml:space="preserve"> </w:t>
            </w:r>
            <w:r>
              <w:rPr>
                <w:rStyle w:val="VerbatimChar"/>
                <w:sz w:val="18"/>
              </w:rPr>
              <w:t xml:space="preserve">sincronizar_zabbix</w:t>
            </w:r>
          </w:p>
        </w:tc>
      </w:tr>
      <w:tr>
        <w:tc>
          <w:tcPr>
            <w:tcW w:w="929" w:type="dxa"/>
          </w:tcPr>
          <w:p>
            <w:pPr>
              <w:pStyle w:val="Compact"/>
              <w:jc w:val="left"/>
            </w:pPr>
            <w:r>
              <w:rPr>
                <w:sz w:val="18"/>
              </w:rPr>
              <w:t xml:space="preserve">AD-03</w:t>
            </w:r>
          </w:p>
        </w:tc>
        <w:tc>
          <w:tcPr>
            <w:tcW w:w="2151" w:type="dxa"/>
          </w:tcPr>
          <w:p>
            <w:pPr>
              <w:pStyle w:val="Compact"/>
              <w:jc w:val="left"/>
            </w:pPr>
            <w:r>
              <w:rPr>
                <w:sz w:val="18"/>
              </w:rPr>
              <w:t xml:space="preserve">Power Automate se comunica con SICMA por correo</w:t>
            </w:r>
          </w:p>
        </w:tc>
        <w:tc>
          <w:tcPr>
            <w:tcW w:w="2372" w:type="dxa"/>
          </w:tcPr>
          <w:p>
            <w:pPr>
              <w:pStyle w:val="Compact"/>
              <w:jc w:val="left"/>
            </w:pPr>
            <w:r>
              <w:rPr>
                <w:sz w:val="18"/>
              </w:rPr>
              <w:t xml:space="preserve">La licencia gratuita no tiene conectores HTTP</w:t>
            </w:r>
          </w:p>
        </w:tc>
        <w:tc>
          <w:tcPr>
            <w:tcW w:w="2466" w:type="dxa"/>
          </w:tcPr>
          <w:p>
            <w:pPr>
              <w:pStyle w:val="Compact"/>
              <w:jc w:val="left"/>
            </w:pPr>
            <w:r>
              <w:rPr>
                <w:sz w:val="18"/>
              </w:rPr>
              <w:t xml:space="preserve">La comunicación depende de un buzón IMAP y de un remitente de confianza</w:t>
            </w:r>
          </w:p>
        </w:tc>
      </w:tr>
      <w:tr>
        <w:tc>
          <w:tcPr>
            <w:tcW w:w="929" w:type="dxa"/>
          </w:tcPr>
          <w:p>
            <w:pPr>
              <w:pStyle w:val="Compact"/>
              <w:jc w:val="left"/>
            </w:pPr>
            <w:r>
              <w:rPr>
                <w:sz w:val="18"/>
              </w:rPr>
              <w:t xml:space="preserve">AD-04</w:t>
            </w:r>
          </w:p>
        </w:tc>
        <w:tc>
          <w:tcPr>
            <w:tcW w:w="2151" w:type="dxa"/>
          </w:tcPr>
          <w:p>
            <w:pPr>
              <w:pStyle w:val="Compact"/>
              <w:jc w:val="left"/>
            </w:pPr>
            <w:r>
              <w:rPr>
                <w:sz w:val="18"/>
              </w:rPr>
              <w:t xml:space="preserve">Las plantillas de huella solo viven en el PC del lector</w:t>
            </w:r>
          </w:p>
        </w:tc>
        <w:tc>
          <w:tcPr>
            <w:tcW w:w="2372" w:type="dxa"/>
          </w:tcPr>
          <w:p>
            <w:pPr>
              <w:pStyle w:val="Compact"/>
              <w:jc w:val="left"/>
            </w:pPr>
            <w:r>
              <w:rPr>
                <w:sz w:val="18"/>
              </w:rPr>
              <w:t xml:space="preserve">SICMA no debe almacenar datos biométricos (RF-ACC-01, RNF-LEG-01)</w:t>
            </w:r>
          </w:p>
        </w:tc>
        <w:tc>
          <w:tcPr>
            <w:tcW w:w="2466" w:type="dxa"/>
          </w:tcPr>
          <w:p>
            <w:pPr>
              <w:pStyle w:val="Compact"/>
              <w:jc w:val="left"/>
            </w:pPr>
            <w:r>
              <w:rPr>
                <w:sz w:val="18"/>
              </w:rPr>
              <w:t xml:space="preserve">El enrolamiento y los respaldos dependen de ese PC</w:t>
            </w:r>
          </w:p>
        </w:tc>
      </w:tr>
      <w:tr>
        <w:tc>
          <w:tcPr>
            <w:tcW w:w="929" w:type="dxa"/>
          </w:tcPr>
          <w:p>
            <w:pPr>
              <w:pStyle w:val="Compact"/>
              <w:jc w:val="left"/>
            </w:pPr>
            <w:r>
              <w:rPr>
                <w:sz w:val="18"/>
              </w:rPr>
              <w:t xml:space="preserve">AD-05</w:t>
            </w:r>
          </w:p>
        </w:tc>
        <w:tc>
          <w:tcPr>
            <w:tcW w:w="2151" w:type="dxa"/>
          </w:tcPr>
          <w:p>
            <w:pPr>
              <w:pStyle w:val="Compact"/>
              <w:jc w:val="left"/>
            </w:pPr>
            <w:r>
              <w:rPr>
                <w:sz w:val="18"/>
              </w:rPr>
              <w:t xml:space="preserve">Token de solo lectura para la app móvil</w:t>
            </w:r>
          </w:p>
        </w:tc>
        <w:tc>
          <w:tcPr>
            <w:tcW w:w="2372" w:type="dxa"/>
          </w:tcPr>
          <w:p>
            <w:pPr>
              <w:pStyle w:val="Compact"/>
              <w:jc w:val="left"/>
            </w:pPr>
            <w:r>
              <w:rPr>
                <w:sz w:val="18"/>
              </w:rPr>
              <w:t xml:space="preserve">RF-PLT-02 pide solo consulta y no basta ocultar botones</w:t>
            </w:r>
          </w:p>
        </w:tc>
        <w:tc>
          <w:tcPr>
            <w:tcW w:w="2466" w:type="dxa"/>
          </w:tcPr>
          <w:p>
            <w:pPr>
              <w:pStyle w:val="Compact"/>
              <w:jc w:val="left"/>
            </w:pPr>
            <w:r>
              <w:rPr>
                <w:sz w:val="18"/>
              </w:rPr>
              <w:t xml:space="preserve">La API aplica la restricción aunque alguien use otra herramienta</w:t>
            </w:r>
          </w:p>
        </w:tc>
      </w:tr>
      <w:tr>
        <w:tc>
          <w:tcPr>
            <w:tcW w:w="929" w:type="dxa"/>
          </w:tcPr>
          <w:p>
            <w:pPr>
              <w:pStyle w:val="Compact"/>
              <w:jc w:val="left"/>
            </w:pPr>
            <w:r>
              <w:rPr>
                <w:sz w:val="18"/>
              </w:rPr>
              <w:t xml:space="preserve">AD-06</w:t>
            </w:r>
          </w:p>
        </w:tc>
        <w:tc>
          <w:tcPr>
            <w:tcW w:w="2151" w:type="dxa"/>
          </w:tcPr>
          <w:p>
            <w:pPr>
              <w:pStyle w:val="Compact"/>
              <w:jc w:val="left"/>
            </w:pPr>
            <w:r>
              <w:rPr>
                <w:sz w:val="18"/>
              </w:rPr>
              <w:t xml:space="preserve">API publicada por Cloudflare Tunnel y web en Cloudflare Pages</w:t>
            </w:r>
          </w:p>
        </w:tc>
        <w:tc>
          <w:tcPr>
            <w:tcW w:w="2372" w:type="dxa"/>
          </w:tcPr>
          <w:p>
            <w:pPr>
              <w:pStyle w:val="Compact"/>
              <w:jc w:val="left"/>
            </w:pPr>
            <w:r>
              <w:rPr>
                <w:sz w:val="18"/>
              </w:rPr>
              <w:t xml:space="preserve">Sin puertos de entrada abiertos y con HTTPS en el borde</w:t>
            </w:r>
          </w:p>
        </w:tc>
        <w:tc>
          <w:tcPr>
            <w:tcW w:w="2466" w:type="dxa"/>
          </w:tcPr>
          <w:p>
            <w:pPr>
              <w:pStyle w:val="Compact"/>
              <w:jc w:val="left"/>
            </w:pPr>
            <w:r>
              <w:rPr>
                <w:sz w:val="18"/>
              </w:rPr>
              <w:t xml:space="preserve">Dependencia de un tercero y de la IP informada por Cloudflare para limitar peticiones</w:t>
            </w:r>
          </w:p>
        </w:tc>
      </w:tr>
      <w:tr>
        <w:tc>
          <w:tcPr>
            <w:tcW w:w="929" w:type="dxa"/>
          </w:tcPr>
          <w:p>
            <w:pPr>
              <w:pStyle w:val="Compact"/>
              <w:jc w:val="left"/>
            </w:pPr>
            <w:r>
              <w:rPr>
                <w:sz w:val="18"/>
              </w:rPr>
              <w:t xml:space="preserve">AD-07</w:t>
            </w:r>
          </w:p>
        </w:tc>
        <w:tc>
          <w:tcPr>
            <w:tcW w:w="2151" w:type="dxa"/>
          </w:tcPr>
          <w:p>
            <w:pPr>
              <w:pStyle w:val="Compact"/>
              <w:jc w:val="left"/>
            </w:pPr>
            <w:r>
              <w:rPr>
                <w:sz w:val="18"/>
              </w:rPr>
              <w:t xml:space="preserve">Acceso a la base de datos por MySQL Router</w:t>
            </w:r>
          </w:p>
        </w:tc>
        <w:tc>
          <w:tcPr>
            <w:tcW w:w="2372" w:type="dxa"/>
          </w:tcPr>
          <w:p>
            <w:pPr>
              <w:pStyle w:val="Compact"/>
              <w:jc w:val="left"/>
            </w:pPr>
            <w:r>
              <w:rPr>
                <w:sz w:val="18"/>
              </w:rPr>
              <w:t xml:space="preserve">La aplicación no debe conocer qué nodo es el primary</w:t>
            </w:r>
          </w:p>
        </w:tc>
        <w:tc>
          <w:tcPr>
            <w:tcW w:w="2466" w:type="dxa"/>
          </w:tcPr>
          <w:p>
            <w:pPr>
              <w:pStyle w:val="Compact"/>
              <w:jc w:val="left"/>
            </w:pPr>
            <w:r>
              <w:rPr>
                <w:sz w:val="18"/>
              </w:rPr>
              <w:t xml:space="preserve">Un solo punto de conexión que también debe protegerse</w:t>
            </w:r>
          </w:p>
        </w:tc>
      </w:tr>
    </w:tbl>
    <w:bookmarkEnd w:id="56"/>
    <w:bookmarkStart w:id="57" w:name="trazabilidad-con-los-requerimientos"/>
    <w:p>
      <w:pPr>
        <w:pStyle w:val="Heading2"/>
      </w:pPr>
      <w:r>
        <w:t xml:space="preserve">Trazabilidad con los requerimientos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101"/>
        <w:gridCol w:w="2939"/>
        <w:gridCol w:w="2878"/>
      </w:tblGrid>
      <w:tr>
        <w:trPr>
          <w:tblHeader w:val="true"/>
        </w:trPr>
        <w:tc>
          <w:tcPr>
            <w:tcW w:w="2101" w:type="dxa"/>
            <w:shd w:val="clear" w:color="auto" w:fill="D9E2F3"/>
          </w:tcPr>
          <w:p>
            <w:pPr>
              <w:pStyle w:val="Compact"/>
              <w:jc w:val="left"/>
            </w:pPr>
            <w:r>
              <w:rPr>
                <w:b/>
                <w:sz w:val="18"/>
              </w:rPr>
              <w:t xml:space="preserve">Requerimiento</w:t>
            </w:r>
          </w:p>
        </w:tc>
        <w:tc>
          <w:tcPr>
            <w:tcW w:w="2939" w:type="dxa"/>
            <w:shd w:val="clear" w:color="auto" w:fill="D9E2F3"/>
          </w:tcPr>
          <w:p>
            <w:pPr>
              <w:pStyle w:val="Compact"/>
              <w:jc w:val="left"/>
            </w:pPr>
            <w:r>
              <w:rPr>
                <w:b/>
                <w:sz w:val="18"/>
              </w:rPr>
              <w:t xml:space="preserve">Cómo lo cubre la arquitectura</w:t>
            </w:r>
          </w:p>
        </w:tc>
        <w:tc>
          <w:tcPr>
            <w:tcW w:w="2878" w:type="dxa"/>
            <w:shd w:val="clear" w:color="auto" w:fill="D9E2F3"/>
          </w:tcPr>
          <w:p>
            <w:pPr>
              <w:pStyle w:val="Compact"/>
              <w:jc w:val="left"/>
            </w:pPr>
            <w:r>
              <w:rPr>
                <w:b/>
                <w:sz w:val="18"/>
              </w:rPr>
              <w:t xml:space="preserve">Estado en el código</w:t>
            </w:r>
          </w:p>
        </w:tc>
      </w:tr>
      <w:tr>
        <w:tc>
          <w:tcPr>
            <w:tcW w:w="2101" w:type="dxa"/>
          </w:tcPr>
          <w:p>
            <w:pPr>
              <w:pStyle w:val="Compact"/>
              <w:jc w:val="left"/>
            </w:pPr>
            <w:r>
              <w:rPr>
                <w:sz w:val="18"/>
              </w:rPr>
              <w:t xml:space="preserve">RNF-SEG-01</w:t>
            </w:r>
          </w:p>
        </w:tc>
        <w:tc>
          <w:tcPr>
            <w:tcW w:w="2939" w:type="dxa"/>
          </w:tcPr>
          <w:p>
            <w:pPr>
              <w:pStyle w:val="Compact"/>
              <w:jc w:val="left"/>
            </w:pPr>
            <w:r>
              <w:rPr>
                <w:sz w:val="18"/>
              </w:rPr>
              <w:t xml:space="preserve">JWT con vencimiento por inactividad en el servidor</w:t>
            </w:r>
          </w:p>
        </w:tc>
        <w:tc>
          <w:tcPr>
            <w:tcW w:w="2878" w:type="dxa"/>
          </w:tcPr>
          <w:p>
            <w:pPr>
              <w:pStyle w:val="Compact"/>
              <w:jc w:val="left"/>
            </w:pPr>
            <w:r>
              <w:rPr>
                <w:sz w:val="18"/>
              </w:rPr>
              <w:t xml:space="preserve">Implementado</w:t>
            </w:r>
          </w:p>
        </w:tc>
      </w:tr>
      <w:tr>
        <w:tc>
          <w:tcPr>
            <w:tcW w:w="2101" w:type="dxa"/>
          </w:tcPr>
          <w:p>
            <w:pPr>
              <w:pStyle w:val="Compact"/>
              <w:jc w:val="left"/>
            </w:pPr>
            <w:r>
              <w:rPr>
                <w:sz w:val="18"/>
              </w:rPr>
              <w:t xml:space="preserve">RNF-SEG-02</w:t>
            </w:r>
          </w:p>
        </w:tc>
        <w:tc>
          <w:tcPr>
            <w:tcW w:w="2939" w:type="dxa"/>
          </w:tcPr>
          <w:p>
            <w:pPr>
              <w:pStyle w:val="Compact"/>
              <w:jc w:val="left"/>
            </w:pPr>
            <w:r>
              <w:rPr>
                <w:sz w:val="18"/>
              </w:rPr>
              <w:t xml:space="preserve">Bloqueo tras 5 intentos fallidos</w:t>
            </w:r>
          </w:p>
        </w:tc>
        <w:tc>
          <w:tcPr>
            <w:tcW w:w="2878" w:type="dxa"/>
          </w:tcPr>
          <w:p>
            <w:pPr>
              <w:pStyle w:val="Compact"/>
              <w:jc w:val="left"/>
            </w:pPr>
            <w:r>
              <w:rPr>
                <w:sz w:val="18"/>
              </w:rPr>
              <w:t xml:space="preserve">Implementado</w:t>
            </w:r>
          </w:p>
        </w:tc>
      </w:tr>
      <w:tr>
        <w:tc>
          <w:tcPr>
            <w:tcW w:w="2101" w:type="dxa"/>
          </w:tcPr>
          <w:p>
            <w:pPr>
              <w:pStyle w:val="Compact"/>
              <w:jc w:val="left"/>
            </w:pPr>
            <w:r>
              <w:rPr>
                <w:sz w:val="18"/>
              </w:rPr>
              <w:t xml:space="preserve">RNF-SEG-03</w:t>
            </w:r>
          </w:p>
        </w:tc>
        <w:tc>
          <w:tcPr>
            <w:tcW w:w="2939" w:type="dxa"/>
          </w:tcPr>
          <w:p>
            <w:pPr>
              <w:pStyle w:val="Compact"/>
              <w:jc w:val="left"/>
            </w:pPr>
            <w:r>
              <w:rPr>
                <w:sz w:val="18"/>
              </w:rPr>
              <w:t xml:space="preserve">Política con antigüedad de 90 días</w:t>
            </w:r>
          </w:p>
        </w:tc>
        <w:tc>
          <w:tcPr>
            <w:tcW w:w="2878" w:type="dxa"/>
          </w:tcPr>
          <w:p>
            <w:pPr>
              <w:pStyle w:val="Compact"/>
              <w:jc w:val="left"/>
            </w:pPr>
            <w:r>
              <w:rPr>
                <w:sz w:val="18"/>
              </w:rPr>
              <w:t xml:space="preserve">Parcial: los validadores de contraseña usan los de Django y falta contrastar el largo y la complejidad con SICMA-REQ</w:t>
            </w:r>
          </w:p>
        </w:tc>
      </w:tr>
      <w:tr>
        <w:tc>
          <w:tcPr>
            <w:tcW w:w="2101" w:type="dxa"/>
          </w:tcPr>
          <w:p>
            <w:pPr>
              <w:pStyle w:val="Compact"/>
              <w:jc w:val="left"/>
            </w:pPr>
            <w:r>
              <w:rPr>
                <w:sz w:val="18"/>
              </w:rPr>
              <w:t xml:space="preserve">RNF-SEG-04</w:t>
            </w:r>
          </w:p>
        </w:tc>
        <w:tc>
          <w:tcPr>
            <w:tcW w:w="2939" w:type="dxa"/>
          </w:tcPr>
          <w:p>
            <w:pPr>
              <w:pStyle w:val="Compact"/>
              <w:jc w:val="left"/>
            </w:pPr>
            <w:r>
              <w:rPr>
                <w:sz w:val="18"/>
              </w:rPr>
              <w:t xml:space="preserve">CORS y CSRF acotados</w:t>
            </w:r>
          </w:p>
        </w:tc>
        <w:tc>
          <w:tcPr>
            <w:tcW w:w="2878" w:type="dxa"/>
          </w:tcPr>
          <w:p>
            <w:pPr>
              <w:pStyle w:val="Compact"/>
              <w:jc w:val="left"/>
            </w:pPr>
            <w:r>
              <w:rPr>
                <w:sz w:val="18"/>
              </w:rPr>
              <w:t xml:space="preserve">Implementado</w:t>
            </w:r>
          </w:p>
        </w:tc>
      </w:tr>
      <w:tr>
        <w:tc>
          <w:tcPr>
            <w:tcW w:w="2101" w:type="dxa"/>
          </w:tcPr>
          <w:p>
            <w:pPr>
              <w:pStyle w:val="Compact"/>
              <w:jc w:val="left"/>
            </w:pPr>
            <w:r>
              <w:rPr>
                <w:sz w:val="18"/>
              </w:rPr>
              <w:t xml:space="preserve">RNF-SEG-05 y RNF-SEG-06</w:t>
            </w:r>
          </w:p>
        </w:tc>
        <w:tc>
          <w:tcPr>
            <w:tcW w:w="2939" w:type="dxa"/>
          </w:tcPr>
          <w:p>
            <w:pPr>
              <w:pStyle w:val="Compact"/>
              <w:jc w:val="left"/>
            </w:pPr>
            <w:r>
              <w:rPr>
                <w:sz w:val="18"/>
              </w:rPr>
              <w:t xml:space="preserve">Endurecimiento del servidor</w:t>
            </w:r>
          </w:p>
        </w:tc>
        <w:tc>
          <w:tcPr>
            <w:tcW w:w="2878" w:type="dxa"/>
          </w:tcPr>
          <w:p>
            <w:pPr>
              <w:pStyle w:val="Compact"/>
              <w:jc w:val="left"/>
            </w:pPr>
            <w:r>
              <w:rPr>
                <w:sz w:val="18"/>
              </w:rPr>
              <w:t xml:space="preserve">Fuera del código, pendiente</w:t>
            </w:r>
          </w:p>
        </w:tc>
      </w:tr>
      <w:tr>
        <w:tc>
          <w:tcPr>
            <w:tcW w:w="2101" w:type="dxa"/>
          </w:tcPr>
          <w:p>
            <w:pPr>
              <w:pStyle w:val="Compact"/>
              <w:jc w:val="left"/>
            </w:pPr>
            <w:r>
              <w:rPr>
                <w:sz w:val="18"/>
              </w:rPr>
              <w:t xml:space="preserve">RNF-SEG-07</w:t>
            </w:r>
          </w:p>
        </w:tc>
        <w:tc>
          <w:tcPr>
            <w:tcW w:w="2939" w:type="dxa"/>
          </w:tcPr>
          <w:p>
            <w:pPr>
              <w:pStyle w:val="Compact"/>
              <w:jc w:val="left"/>
            </w:pPr>
            <w:r>
              <w:rPr>
                <w:sz w:val="18"/>
              </w:rPr>
              <w:t xml:space="preserve">TLS y contraseñas con hash</w:t>
            </w:r>
          </w:p>
        </w:tc>
        <w:tc>
          <w:tcPr>
            <w:tcW w:w="2878" w:type="dxa"/>
          </w:tcPr>
          <w:p>
            <w:pPr>
              <w:pStyle w:val="Compact"/>
              <w:jc w:val="left"/>
            </w:pPr>
            <w:r>
              <w:rPr>
                <w:sz w:val="18"/>
              </w:rPr>
              <w:t xml:space="preserve">Contraseñas con hash; TLS solo en la web y el túnel</w:t>
            </w:r>
          </w:p>
        </w:tc>
      </w:tr>
      <w:tr>
        <w:tc>
          <w:tcPr>
            <w:tcW w:w="2101" w:type="dxa"/>
          </w:tcPr>
          <w:p>
            <w:pPr>
              <w:pStyle w:val="Compact"/>
              <w:jc w:val="left"/>
            </w:pPr>
            <w:r>
              <w:rPr>
                <w:sz w:val="18"/>
              </w:rPr>
              <w:t xml:space="preserve">RNF-SEG-08</w:t>
            </w:r>
          </w:p>
        </w:tc>
        <w:tc>
          <w:tcPr>
            <w:tcW w:w="2939" w:type="dxa"/>
          </w:tcPr>
          <w:p>
            <w:pPr>
              <w:pStyle w:val="Compact"/>
              <w:jc w:val="left"/>
            </w:pPr>
            <w:r>
              <w:rPr>
                <w:sz w:val="18"/>
              </w:rPr>
              <w:t xml:space="preserve">Permisos por rol en cada vista</w:t>
            </w:r>
          </w:p>
        </w:tc>
        <w:tc>
          <w:tcPr>
            <w:tcW w:w="2878" w:type="dxa"/>
          </w:tcPr>
          <w:p>
            <w:pPr>
              <w:pStyle w:val="Compact"/>
              <w:jc w:val="left"/>
            </w:pPr>
            <w:r>
              <w:rPr>
                <w:sz w:val="18"/>
              </w:rPr>
              <w:t xml:space="preserve">Implementado</w:t>
            </w:r>
          </w:p>
        </w:tc>
      </w:tr>
      <w:tr>
        <w:tc>
          <w:tcPr>
            <w:tcW w:w="2101" w:type="dxa"/>
          </w:tcPr>
          <w:p>
            <w:pPr>
              <w:pStyle w:val="Compact"/>
              <w:jc w:val="left"/>
            </w:pPr>
            <w:r>
              <w:rPr>
                <w:sz w:val="18"/>
              </w:rPr>
              <w:t xml:space="preserve">RNF-DIS-01 y RNF-DIS-02</w:t>
            </w:r>
          </w:p>
        </w:tc>
        <w:tc>
          <w:tcPr>
            <w:tcW w:w="2939" w:type="dxa"/>
          </w:tcPr>
          <w:p>
            <w:pPr>
              <w:pStyle w:val="Compact"/>
              <w:jc w:val="left"/>
            </w:pPr>
            <w:r>
              <w:rPr>
                <w:sz w:val="18"/>
              </w:rPr>
              <w:t xml:space="preserve">InnoDB Cluster y Router</w:t>
            </w:r>
          </w:p>
        </w:tc>
        <w:tc>
          <w:tcPr>
            <w:tcW w:w="2878" w:type="dxa"/>
          </w:tcPr>
          <w:p>
            <w:pPr>
              <w:pStyle w:val="Compact"/>
              <w:jc w:val="left"/>
            </w:pPr>
            <w:r>
              <w:rPr>
                <w:sz w:val="18"/>
              </w:rPr>
              <w:t xml:space="preserve">Configurado; la prueba de recuperación está pendiente</w:t>
            </w:r>
          </w:p>
        </w:tc>
      </w:tr>
      <w:tr>
        <w:tc>
          <w:tcPr>
            <w:tcW w:w="2101" w:type="dxa"/>
          </w:tcPr>
          <w:p>
            <w:pPr>
              <w:pStyle w:val="Compact"/>
              <w:jc w:val="left"/>
            </w:pPr>
            <w:r>
              <w:rPr>
                <w:sz w:val="18"/>
              </w:rPr>
              <w:t xml:space="preserve">RNF-DES-01</w:t>
            </w:r>
          </w:p>
        </w:tc>
        <w:tc>
          <w:tcPr>
            <w:tcW w:w="2939" w:type="dxa"/>
          </w:tcPr>
          <w:p>
            <w:pPr>
              <w:pStyle w:val="Compact"/>
              <w:jc w:val="left"/>
            </w:pPr>
            <w:r>
              <w:rPr>
                <w:sz w:val="18"/>
              </w:rPr>
              <w:t xml:space="preserve">On premise más nube</w:t>
            </w:r>
          </w:p>
        </w:tc>
        <w:tc>
          <w:tcPr>
            <w:tcW w:w="2878" w:type="dxa"/>
          </w:tcPr>
          <w:p>
            <w:pPr>
              <w:pStyle w:val="Compact"/>
              <w:jc w:val="left"/>
            </w:pPr>
            <w:r>
              <w:rPr>
                <w:sz w:val="18"/>
              </w:rPr>
              <w:t xml:space="preserve">Implementado</w:t>
            </w:r>
          </w:p>
        </w:tc>
      </w:tr>
      <w:tr>
        <w:tc>
          <w:tcPr>
            <w:tcW w:w="2101" w:type="dxa"/>
          </w:tcPr>
          <w:p>
            <w:pPr>
              <w:pStyle w:val="Compact"/>
              <w:jc w:val="left"/>
            </w:pPr>
            <w:r>
              <w:rPr>
                <w:sz w:val="18"/>
              </w:rPr>
              <w:t xml:space="preserve">RNF-DES-02</w:t>
            </w:r>
          </w:p>
        </w:tc>
        <w:tc>
          <w:tcPr>
            <w:tcW w:w="2939" w:type="dxa"/>
          </w:tcPr>
          <w:p>
            <w:pPr>
              <w:pStyle w:val="Compact"/>
              <w:jc w:val="left"/>
            </w:pPr>
            <w:r>
              <w:rPr>
                <w:sz w:val="18"/>
              </w:rPr>
              <w:t xml:space="preserve">Sensor por WiFi y HTTP</w:t>
            </w:r>
          </w:p>
        </w:tc>
        <w:tc>
          <w:tcPr>
            <w:tcW w:w="2878" w:type="dxa"/>
          </w:tcPr>
          <w:p>
            <w:pPr>
              <w:pStyle w:val="Compact"/>
              <w:jc w:val="left"/>
            </w:pPr>
            <w:r>
              <w:rPr>
                <w:sz w:val="18"/>
              </w:rPr>
              <w:t xml:space="preserve">API lista; firmware fuera del repositorio</w:t>
            </w:r>
          </w:p>
        </w:tc>
      </w:tr>
      <w:tr>
        <w:tc>
          <w:tcPr>
            <w:tcW w:w="2101" w:type="dxa"/>
          </w:tcPr>
          <w:p>
            <w:pPr>
              <w:pStyle w:val="Compact"/>
              <w:jc w:val="left"/>
            </w:pPr>
            <w:r>
              <w:rPr>
                <w:sz w:val="18"/>
              </w:rPr>
              <w:t xml:space="preserve">RNF-CAL-01</w:t>
            </w:r>
          </w:p>
        </w:tc>
        <w:tc>
          <w:tcPr>
            <w:tcW w:w="2939" w:type="dxa"/>
          </w:tcPr>
          <w:p>
            <w:pPr>
              <w:pStyle w:val="Compact"/>
              <w:jc w:val="left"/>
            </w:pPr>
            <w:r>
              <w:rPr>
                <w:sz w:val="18"/>
              </w:rPr>
              <w:t xml:space="preserve">Integración continua</w:t>
            </w:r>
          </w:p>
        </w:tc>
        <w:tc>
          <w:tcPr>
            <w:tcW w:w="2878" w:type="dxa"/>
          </w:tcPr>
          <w:p>
            <w:pPr>
              <w:pStyle w:val="Compact"/>
              <w:jc w:val="left"/>
            </w:pPr>
            <w:r>
              <w:rPr>
                <w:sz w:val="18"/>
              </w:rPr>
              <w:t xml:space="preserve">Pendiente</w:t>
            </w:r>
          </w:p>
        </w:tc>
      </w:tr>
      <w:tr>
        <w:tc>
          <w:tcPr>
            <w:tcW w:w="2101" w:type="dxa"/>
          </w:tcPr>
          <w:p>
            <w:pPr>
              <w:pStyle w:val="Compact"/>
              <w:jc w:val="left"/>
            </w:pPr>
            <w:r>
              <w:rPr>
                <w:sz w:val="18"/>
              </w:rPr>
              <w:t xml:space="preserve">RF-PLT-02</w:t>
            </w:r>
          </w:p>
        </w:tc>
        <w:tc>
          <w:tcPr>
            <w:tcW w:w="2939" w:type="dxa"/>
          </w:tcPr>
          <w:p>
            <w:pPr>
              <w:pStyle w:val="Compact"/>
              <w:jc w:val="left"/>
            </w:pPr>
            <w:r>
              <w:rPr>
                <w:sz w:val="18"/>
              </w:rPr>
              <w:t xml:space="preserve">Token móvil de solo lectura</w:t>
            </w:r>
          </w:p>
        </w:tc>
        <w:tc>
          <w:tcPr>
            <w:tcW w:w="2878" w:type="dxa"/>
          </w:tcPr>
          <w:p>
            <w:pPr>
              <w:pStyle w:val="Compact"/>
              <w:jc w:val="left"/>
            </w:pPr>
            <w:r>
              <w:rPr>
                <w:sz w:val="18"/>
              </w:rPr>
              <w:t xml:space="preserve">Implementado</w:t>
            </w:r>
          </w:p>
        </w:tc>
      </w:tr>
    </w:tbl>
    <w:bookmarkEnd w:id="57"/>
    <w:bookmarkStart w:id="58" w:name="diferencias-con-los-documentos-vigentes"/>
    <w:p>
      <w:pPr>
        <w:pStyle w:val="Heading2"/>
      </w:pPr>
      <w:r>
        <w:t xml:space="preserve">Diferencias con los documentos vigentes</w:t>
      </w:r>
    </w:p>
    <w:p>
      <w:pPr>
        <w:pStyle w:val="FirstParagraph"/>
        <w:spacing w:line="360" w:lineRule="auto" w:before="160" w:after="0"/>
        <w:ind w:firstLine="709"/>
        <w:jc w:val="both"/>
      </w:pPr>
      <w:r>
        <w:rPr>
          <w:sz w:val="22"/>
        </w:rPr>
        <w:t xml:space="preserve">El código tiene decisiones tomadas después de los documentos de diseño. La tabla las lista y dice cómo quedó cada una en los documentos del 26 de octubre.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80"/>
        <w:gridCol w:w="1784"/>
        <w:gridCol w:w="2310"/>
        <w:gridCol w:w="2444"/>
      </w:tblGrid>
      <w:tr>
        <w:trPr>
          <w:tblHeader w:val="true"/>
        </w:trPr>
        <w:tc>
          <w:tcPr>
            <w:tcW w:w="1380" w:type="dxa"/>
            <w:shd w:val="clear" w:color="auto" w:fill="D9E2F3"/>
          </w:tcPr>
          <w:p>
            <w:pPr>
              <w:pStyle w:val="Compact"/>
              <w:jc w:val="left"/>
            </w:pPr>
            <w:r>
              <w:rPr>
                <w:b/>
                <w:sz w:val="18"/>
              </w:rPr>
              <w:t xml:space="preserve">Tema</w:t>
            </w:r>
          </w:p>
        </w:tc>
        <w:tc>
          <w:tcPr>
            <w:tcW w:w="1784" w:type="dxa"/>
            <w:shd w:val="clear" w:color="auto" w:fill="D9E2F3"/>
          </w:tcPr>
          <w:p>
            <w:pPr>
              <w:pStyle w:val="Compact"/>
              <w:jc w:val="left"/>
            </w:pPr>
            <w:r>
              <w:rPr>
                <w:b/>
                <w:sz w:val="18"/>
              </w:rPr>
              <w:t xml:space="preserve">Lo que decían los documentos</w:t>
            </w:r>
          </w:p>
        </w:tc>
        <w:tc>
          <w:tcPr>
            <w:tcW w:w="2310" w:type="dxa"/>
            <w:shd w:val="clear" w:color="auto" w:fill="D9E2F3"/>
          </w:tcPr>
          <w:p>
            <w:pPr>
              <w:pStyle w:val="Compact"/>
              <w:jc w:val="left"/>
            </w:pPr>
            <w:r>
              <w:rPr>
                <w:b/>
                <w:sz w:val="18"/>
              </w:rPr>
              <w:t xml:space="preserve">Lo que hace el código</w:t>
            </w:r>
          </w:p>
        </w:tc>
        <w:tc>
          <w:tcPr>
            <w:tcW w:w="2444" w:type="dxa"/>
            <w:shd w:val="clear" w:color="auto" w:fill="D9E2F3"/>
          </w:tcPr>
          <w:p>
            <w:pPr>
              <w:pStyle w:val="Compact"/>
              <w:jc w:val="left"/>
            </w:pPr>
            <w:r>
              <w:rPr>
                <w:b/>
                <w:sz w:val="18"/>
              </w:rPr>
              <w:t xml:space="preserve">Estado en los documentos</w:t>
            </w:r>
          </w:p>
        </w:tc>
      </w:tr>
      <w:tr>
        <w:tc>
          <w:tcPr>
            <w:tcW w:w="1380" w:type="dxa"/>
          </w:tcPr>
          <w:p>
            <w:pPr>
              <w:pStyle w:val="Compact"/>
              <w:jc w:val="left"/>
            </w:pPr>
            <w:r>
              <w:rPr>
                <w:sz w:val="18"/>
              </w:rPr>
              <w:t xml:space="preserve">Lector de huellas</w:t>
            </w:r>
          </w:p>
        </w:tc>
        <w:tc>
          <w:tcPr>
            <w:tcW w:w="1784" w:type="dxa"/>
          </w:tcPr>
          <w:p>
            <w:pPr>
              <w:pStyle w:val="Compact"/>
              <w:jc w:val="left"/>
            </w:pPr>
            <w:r>
              <w:rPr>
                <w:sz w:val="18"/>
              </w:rPr>
              <w:t xml:space="preserve">Lector biométrico HID</w:t>
            </w:r>
          </w:p>
        </w:tc>
        <w:tc>
          <w:tcPr>
            <w:tcW w:w="2310" w:type="dxa"/>
          </w:tcPr>
          <w:p>
            <w:pPr>
              <w:pStyle w:val="Compact"/>
              <w:jc w:val="left"/>
            </w:pPr>
            <w:r>
              <w:rPr>
                <w:sz w:val="18"/>
              </w:rPr>
              <w:t xml:space="preserve">Lector SecuGen Hamster Plus con agente propio</w:t>
            </w:r>
          </w:p>
        </w:tc>
        <w:tc>
          <w:tcPr>
            <w:tcW w:w="2444" w:type="dxa"/>
          </w:tcPr>
          <w:p>
            <w:pPr>
              <w:pStyle w:val="Compact"/>
              <w:jc w:val="left"/>
            </w:pPr>
            <w:r>
              <w:rPr>
                <w:sz w:val="18"/>
              </w:rPr>
              <w:t xml:space="preserve">Actualizado en SICMA-REQ, SICMA-CUS, SICMA-ACT, SICMA-CLA y los demás; D-03 de SICMA-REQ cerrado</w:t>
            </w:r>
          </w:p>
        </w:tc>
      </w:tr>
      <w:tr>
        <w:tc>
          <w:tcPr>
            <w:tcW w:w="1380" w:type="dxa"/>
          </w:tcPr>
          <w:p>
            <w:pPr>
              <w:pStyle w:val="Compact"/>
              <w:jc w:val="left"/>
            </w:pPr>
            <w:r>
              <w:rPr>
                <w:sz w:val="18"/>
              </w:rPr>
              <w:t xml:space="preserve">Roles</w:t>
            </w:r>
          </w:p>
        </w:tc>
        <w:tc>
          <w:tcPr>
            <w:tcW w:w="1784" w:type="dxa"/>
          </w:tcPr>
          <w:p>
            <w:pPr>
              <w:pStyle w:val="Compact"/>
              <w:jc w:val="left"/>
            </w:pPr>
            <w:r>
              <w:rPr>
                <w:sz w:val="18"/>
              </w:rPr>
              <w:t xml:space="preserve">Cuatro roles: Administrador, Jefatura, Técnico y Auditor</w:t>
            </w:r>
          </w:p>
        </w:tc>
        <w:tc>
          <w:tcPr>
            <w:tcW w:w="2310" w:type="dxa"/>
          </w:tcPr>
          <w:p>
            <w:pPr>
              <w:pStyle w:val="Compact"/>
              <w:jc w:val="left"/>
            </w:pPr>
            <w:r>
              <w:rPr>
                <w:sz w:val="18"/>
              </w:rPr>
              <w:t xml:space="preserve">Se suman Administrador Privilegiado y Contratistas</w:t>
            </w:r>
          </w:p>
        </w:tc>
        <w:tc>
          <w:tcPr>
            <w:tcW w:w="2444" w:type="dxa"/>
          </w:tcPr>
          <w:p>
            <w:pPr>
              <w:pStyle w:val="Compact"/>
              <w:jc w:val="left"/>
            </w:pPr>
            <w:r>
              <w:rPr>
                <w:sz w:val="18"/>
              </w:rPr>
              <w:t xml:space="preserve">RF-ID-05 y una nota bajo la matriz en SICMA-REQ; las columnas de la matriz siguen pendientes (D-13)</w:t>
            </w:r>
          </w:p>
        </w:tc>
      </w:tr>
      <w:tr>
        <w:tc>
          <w:tcPr>
            <w:tcW w:w="1380" w:type="dxa"/>
          </w:tcPr>
          <w:p>
            <w:pPr>
              <w:pStyle w:val="Compact"/>
              <w:jc w:val="left"/>
            </w:pPr>
            <w:r>
              <w:rPr>
                <w:sz w:val="18"/>
              </w:rPr>
              <w:t xml:space="preserve">Comunicación con Power Automate</w:t>
            </w:r>
          </w:p>
        </w:tc>
        <w:tc>
          <w:tcPr>
            <w:tcW w:w="1784" w:type="dxa"/>
          </w:tcPr>
          <w:p>
            <w:pPr>
              <w:pStyle w:val="Compact"/>
              <w:jc w:val="left"/>
            </w:pPr>
            <w:r>
              <w:rPr>
                <w:sz w:val="18"/>
              </w:rPr>
              <w:t xml:space="preserve">La API recibe llamadas del flujo</w:t>
            </w:r>
          </w:p>
        </w:tc>
        <w:tc>
          <w:tcPr>
            <w:tcW w:w="2310" w:type="dxa"/>
          </w:tcPr>
          <w:p>
            <w:pPr>
              <w:pStyle w:val="Compact"/>
              <w:jc w:val="left"/>
            </w:pPr>
            <w:r>
              <w:rPr>
                <w:sz w:val="18"/>
              </w:rPr>
              <w:t xml:space="preserve">El flujo escribe por correo y SICMA lee el buzón por IMAP</w:t>
            </w:r>
          </w:p>
        </w:tc>
        <w:tc>
          <w:tcPr>
            <w:tcW w:w="2444" w:type="dxa"/>
          </w:tcPr>
          <w:p>
            <w:pPr>
              <w:pStyle w:val="Compact"/>
              <w:jc w:val="left"/>
            </w:pPr>
            <w:r>
              <w:rPr>
                <w:sz w:val="18"/>
              </w:rPr>
              <w:t xml:space="preserve">D-02 cerrado en SICMA-REQ, SICMA-CUS, SICMA-ACT y SICMA-CLA</w:t>
            </w:r>
          </w:p>
        </w:tc>
      </w:tr>
      <w:tr>
        <w:tc>
          <w:tcPr>
            <w:tcW w:w="1380" w:type="dxa"/>
          </w:tcPr>
          <w:p>
            <w:pPr>
              <w:pStyle w:val="Compact"/>
              <w:jc w:val="left"/>
            </w:pPr>
            <w:r>
              <w:rPr>
                <w:sz w:val="18"/>
              </w:rPr>
              <w:t xml:space="preserve">Estados de la intervención</w:t>
            </w:r>
          </w:p>
        </w:tc>
        <w:tc>
          <w:tcPr>
            <w:tcW w:w="1784" w:type="dxa"/>
          </w:tcPr>
          <w:p>
            <w:pPr>
              <w:pStyle w:val="Compact"/>
              <w:jc w:val="left"/>
            </w:pPr>
            <w:r>
              <w:rPr>
                <w:sz w:val="18"/>
              </w:rPr>
              <w:t xml:space="preserve">Solicitada, aprobada, en curso y cerrada</w:t>
            </w:r>
          </w:p>
        </w:tc>
        <w:tc>
          <w:tcPr>
            <w:tcW w:w="2310" w:type="dxa"/>
          </w:tcPr>
          <w:p>
            <w:pPr>
              <w:pStyle w:val="Compact"/>
              <w:jc w:val="left"/>
            </w:pPr>
            <w:r>
              <w:rPr>
                <w:sz w:val="18"/>
              </w:rPr>
              <w:t xml:space="preserve">Ocho estados, entre ellos CambiosSolicitados, Rechazada, Fallida y Cancelada</w:t>
            </w:r>
          </w:p>
        </w:tc>
        <w:tc>
          <w:tcPr>
            <w:tcW w:w="2444" w:type="dxa"/>
          </w:tcPr>
          <w:p>
            <w:pPr>
              <w:pStyle w:val="Compact"/>
              <w:jc w:val="left"/>
            </w:pPr>
            <w:r>
              <w:rPr>
                <w:sz w:val="18"/>
              </w:rPr>
              <w:t xml:space="preserve">RN-12 en SICMA-REQ, casos de uso y diagrama AD-09 de SICMA-ACT actualizados; SICMA-CLA todavía habla de Asignada y Cerrada</w:t>
            </w:r>
          </w:p>
        </w:tc>
      </w:tr>
      <w:tr>
        <w:tc>
          <w:tcPr>
            <w:tcW w:w="1380" w:type="dxa"/>
          </w:tcPr>
          <w:p>
            <w:pPr>
              <w:pStyle w:val="Compact"/>
              <w:jc w:val="left"/>
            </w:pPr>
            <w:r>
              <w:rPr>
                <w:sz w:val="18"/>
              </w:rPr>
              <w:t xml:space="preserve">Personal externo</w:t>
            </w:r>
          </w:p>
        </w:tc>
        <w:tc>
          <w:tcPr>
            <w:tcW w:w="1784" w:type="dxa"/>
          </w:tcPr>
          <w:p>
            <w:pPr>
              <w:pStyle w:val="Compact"/>
              <w:jc w:val="left"/>
            </w:pPr>
            <w:r>
              <w:rPr>
                <w:sz w:val="18"/>
              </w:rPr>
              <w:t xml:space="preserve">No existe como requerimiento</w:t>
            </w:r>
          </w:p>
        </w:tc>
        <w:tc>
          <w:tcPr>
            <w:tcW w:w="2310" w:type="dxa"/>
          </w:tcPr>
          <w:p>
            <w:pPr>
              <w:pStyle w:val="Compact"/>
              <w:jc w:val="left"/>
            </w:pPr>
            <w:r>
              <w:rPr>
                <w:sz w:val="18"/>
              </w:rPr>
              <w:t xml:space="preserve">Enrolamiento, habilitación, permisos por día y verificación de huella al iniciar una intervención</w:t>
            </w:r>
          </w:p>
        </w:tc>
        <w:tc>
          <w:tcPr>
            <w:tcW w:w="2444" w:type="dxa"/>
          </w:tcPr>
          <w:p>
            <w:pPr>
              <w:pStyle w:val="Compact"/>
              <w:jc w:val="left"/>
            </w:pPr>
            <w:r>
              <w:rPr>
                <w:sz w:val="18"/>
              </w:rPr>
              <w:t xml:space="preserve">Descrito en SICMA-CUS, SICMA-ACT y SICMA-ESO; falta decidir si se crean requerimientos propios</w:t>
            </w:r>
          </w:p>
        </w:tc>
      </w:tr>
      <w:tr>
        <w:tc>
          <w:tcPr>
            <w:tcW w:w="1380" w:type="dxa"/>
          </w:tcPr>
          <w:p>
            <w:pPr>
              <w:pStyle w:val="Compact"/>
              <w:jc w:val="left"/>
            </w:pPr>
            <w:r>
              <w:rPr>
                <w:sz w:val="18"/>
              </w:rPr>
              <w:t xml:space="preserve">Gestión de alertas</w:t>
            </w:r>
          </w:p>
        </w:tc>
        <w:tc>
          <w:tcPr>
            <w:tcW w:w="1784" w:type="dxa"/>
          </w:tcPr>
          <w:p>
            <w:pPr>
              <w:pStyle w:val="Compact"/>
              <w:jc w:val="left"/>
            </w:pPr>
            <w:r>
              <w:rPr>
                <w:sz w:val="18"/>
              </w:rPr>
              <w:t xml:space="preserve">Generar y avisar</w:t>
            </w:r>
          </w:p>
        </w:tc>
        <w:tc>
          <w:tcPr>
            <w:tcW w:w="2310" w:type="dxa"/>
          </w:tcPr>
          <w:p>
            <w:pPr>
              <w:pStyle w:val="Compact"/>
              <w:jc w:val="left"/>
            </w:pPr>
            <w:r>
              <w:rPr>
                <w:sz w:val="18"/>
              </w:rPr>
              <w:t xml:space="preserve">Reconocer y cerrar con trazabilidad</w:t>
            </w:r>
          </w:p>
        </w:tc>
        <w:tc>
          <w:tcPr>
            <w:tcW w:w="2444" w:type="dxa"/>
          </w:tcPr>
          <w:p>
            <w:pPr>
              <w:pStyle w:val="Compact"/>
              <w:jc w:val="left"/>
            </w:pPr>
            <w:r>
              <w:rPr>
                <w:sz w:val="18"/>
              </w:rPr>
              <w:t xml:space="preserve">Descrito en CU-13 de SICMA-CUS; falta un requerimiento propio</w:t>
            </w:r>
          </w:p>
        </w:tc>
      </w:tr>
      <w:tr>
        <w:tc>
          <w:tcPr>
            <w:tcW w:w="1380" w:type="dxa"/>
          </w:tcPr>
          <w:p>
            <w:pPr>
              <w:pStyle w:val="Compact"/>
              <w:jc w:val="left"/>
            </w:pPr>
            <w:r>
              <w:rPr>
                <w:sz w:val="18"/>
              </w:rPr>
              <w:t xml:space="preserve">Retiro de activos</w:t>
            </w:r>
          </w:p>
        </w:tc>
        <w:tc>
          <w:tcPr>
            <w:tcW w:w="1784" w:type="dxa"/>
          </w:tcPr>
          <w:p>
            <w:pPr>
              <w:pStyle w:val="Compact"/>
              <w:jc w:val="left"/>
            </w:pPr>
            <w:r>
              <w:rPr>
                <w:sz w:val="18"/>
              </w:rPr>
              <w:t xml:space="preserve">No se describe</w:t>
            </w:r>
          </w:p>
        </w:tc>
        <w:tc>
          <w:tcPr>
            <w:tcW w:w="2310" w:type="dxa"/>
          </w:tcPr>
          <w:p>
            <w:pPr>
              <w:pStyle w:val="Compact"/>
              <w:jc w:val="left"/>
            </w:pPr>
            <w:r>
              <w:rPr>
                <w:sz w:val="18"/>
              </w:rPr>
              <w:t xml:space="preserve">Solo administradores pueden retirar activos</w:t>
            </w:r>
          </w:p>
        </w:tc>
        <w:tc>
          <w:tcPr>
            <w:tcW w:w="2444" w:type="dxa"/>
          </w:tcPr>
          <w:p>
            <w:pPr>
              <w:pStyle w:val="Compact"/>
              <w:jc w:val="left"/>
            </w:pPr>
            <w:r>
              <w:rPr>
                <w:sz w:val="18"/>
              </w:rPr>
              <w:t xml:space="preserve">RN-13 en SICMA-REQ y CU-04 de SICMA-CUS</w:t>
            </w:r>
          </w:p>
        </w:tc>
      </w:tr>
      <w:tr>
        <w:tc>
          <w:tcPr>
            <w:tcW w:w="1380" w:type="dxa"/>
          </w:tcPr>
          <w:p>
            <w:pPr>
              <w:pStyle w:val="Compact"/>
              <w:jc w:val="left"/>
            </w:pPr>
            <w:r>
              <w:rPr>
                <w:sz w:val="18"/>
              </w:rPr>
              <w:t xml:space="preserve">Huellas</w:t>
            </w:r>
          </w:p>
        </w:tc>
        <w:tc>
          <w:tcPr>
            <w:tcW w:w="1784" w:type="dxa"/>
          </w:tcPr>
          <w:p>
            <w:pPr>
              <w:pStyle w:val="Compact"/>
              <w:jc w:val="left"/>
            </w:pPr>
            <w:r>
              <w:rPr>
                <w:sz w:val="18"/>
              </w:rPr>
              <w:t xml:space="preserve">SICMA no almacena huellas</w:t>
            </w:r>
          </w:p>
        </w:tc>
        <w:tc>
          <w:tcPr>
            <w:tcW w:w="2310" w:type="dxa"/>
          </w:tcPr>
          <w:p>
            <w:pPr>
              <w:pStyle w:val="Compact"/>
              <w:jc w:val="left"/>
            </w:pPr>
            <w:r>
              <w:rPr>
                <w:sz w:val="18"/>
              </w:rPr>
              <w:t xml:space="preserve">Correcto para SICMA, pero el PC del lector guarda plantillas cifradas</w:t>
            </w:r>
          </w:p>
        </w:tc>
        <w:tc>
          <w:tcPr>
            <w:tcW w:w="2444" w:type="dxa"/>
          </w:tcPr>
          <w:p>
            <w:pPr>
              <w:pStyle w:val="Compact"/>
              <w:jc w:val="left"/>
            </w:pPr>
            <w:r>
              <w:rPr>
                <w:sz w:val="18"/>
              </w:rPr>
              <w:t xml:space="preserve">RN-11 en SICMA-REQ y un riesgo nuevo en SICMA-ESO (D-05)</w:t>
            </w:r>
          </w:p>
        </w:tc>
      </w:tr>
    </w:tbl>
    <w:bookmarkEnd w:id="58"/>
    <w:bookmarkStart w:id="59" w:name="supuestos-y-pendientes"/>
    <w:p>
      <w:pPr>
        <w:pStyle w:val="Heading2"/>
      </w:pPr>
      <w:r>
        <w:t xml:space="preserve">Supuestos y pendientes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57"/>
        <w:gridCol w:w="2047"/>
        <w:gridCol w:w="3338"/>
        <w:gridCol w:w="1376"/>
      </w:tblGrid>
      <w:tr>
        <w:trPr>
          <w:tblHeader w:val="true"/>
        </w:trPr>
        <w:tc>
          <w:tcPr>
            <w:tcW w:w="1157" w:type="dxa"/>
            <w:shd w:val="clear" w:color="auto" w:fill="D9E2F3"/>
          </w:tcPr>
          <w:p>
            <w:pPr>
              <w:pStyle w:val="Compact"/>
              <w:jc w:val="left"/>
            </w:pPr>
            <w:r>
              <w:rPr>
                <w:b/>
                <w:sz w:val="18"/>
              </w:rPr>
              <w:t xml:space="preserve">ID</w:t>
            </w:r>
          </w:p>
        </w:tc>
        <w:tc>
          <w:tcPr>
            <w:tcW w:w="2047" w:type="dxa"/>
            <w:shd w:val="clear" w:color="auto" w:fill="D9E2F3"/>
          </w:tcPr>
          <w:p>
            <w:pPr>
              <w:pStyle w:val="Compact"/>
              <w:jc w:val="left"/>
            </w:pPr>
            <w:r>
              <w:rPr>
                <w:b/>
                <w:sz w:val="18"/>
              </w:rPr>
              <w:t xml:space="preserve">Tema</w:t>
            </w:r>
          </w:p>
        </w:tc>
        <w:tc>
          <w:tcPr>
            <w:tcW w:w="3338" w:type="dxa"/>
            <w:shd w:val="clear" w:color="auto" w:fill="D9E2F3"/>
          </w:tcPr>
          <w:p>
            <w:pPr>
              <w:pStyle w:val="Compact"/>
              <w:jc w:val="left"/>
            </w:pPr>
            <w:r>
              <w:rPr>
                <w:b/>
                <w:sz w:val="18"/>
              </w:rPr>
              <w:t xml:space="preserve">Supuesto o pendiente</w:t>
            </w:r>
          </w:p>
        </w:tc>
        <w:tc>
          <w:tcPr>
            <w:tcW w:w="1376" w:type="dxa"/>
            <w:shd w:val="clear" w:color="auto" w:fill="D9E2F3"/>
          </w:tcPr>
          <w:p>
            <w:pPr>
              <w:pStyle w:val="Compact"/>
              <w:jc w:val="left"/>
            </w:pPr>
            <w:r>
              <w:rPr>
                <w:b/>
                <w:sz w:val="18"/>
              </w:rPr>
              <w:t xml:space="preserve">Estado</w:t>
            </w:r>
          </w:p>
        </w:tc>
      </w:tr>
      <w:tr>
        <w:tc>
          <w:tcPr>
            <w:tcW w:w="1157" w:type="dxa"/>
          </w:tcPr>
          <w:p>
            <w:pPr>
              <w:pStyle w:val="Compact"/>
              <w:jc w:val="left"/>
            </w:pPr>
            <w:r>
              <w:rPr>
                <w:sz w:val="18"/>
              </w:rPr>
              <w:t xml:space="preserve">D-01</w:t>
            </w:r>
          </w:p>
        </w:tc>
        <w:tc>
          <w:tcPr>
            <w:tcW w:w="2047" w:type="dxa"/>
          </w:tcPr>
          <w:p>
            <w:pPr>
              <w:pStyle w:val="Compact"/>
              <w:jc w:val="left"/>
            </w:pPr>
            <w:r>
              <w:rPr>
                <w:sz w:val="18"/>
              </w:rPr>
              <w:t xml:space="preserve">Vista de desarrollo</w:t>
            </w:r>
          </w:p>
        </w:tc>
        <w:tc>
          <w:tcPr>
            <w:tcW w:w="3338" w:type="dxa"/>
          </w:tcPr>
          <w:p>
            <w:pPr>
              <w:pStyle w:val="Compact"/>
              <w:jc w:val="left"/>
            </w:pPr>
            <w:r>
              <w:rPr>
                <w:sz w:val="18"/>
              </w:rPr>
              <w:t xml:space="preserve">Este documento se hizo con el repositorio del 25 de octubre; si cambia la estructura, debe actualizarse</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D-02</w:t>
            </w:r>
          </w:p>
        </w:tc>
        <w:tc>
          <w:tcPr>
            <w:tcW w:w="2047" w:type="dxa"/>
          </w:tcPr>
          <w:p>
            <w:pPr>
              <w:pStyle w:val="Compact"/>
              <w:jc w:val="left"/>
            </w:pPr>
            <w:r>
              <w:rPr>
                <w:sz w:val="18"/>
              </w:rPr>
              <w:t xml:space="preserve">TLS en la red del proyecto</w:t>
            </w:r>
          </w:p>
        </w:tc>
        <w:tc>
          <w:tcPr>
            <w:tcW w:w="3338" w:type="dxa"/>
          </w:tcPr>
          <w:p>
            <w:pPr>
              <w:pStyle w:val="Compact"/>
              <w:jc w:val="left"/>
            </w:pPr>
            <w:r>
              <w:rPr>
                <w:sz w:val="18"/>
              </w:rPr>
              <w:t xml:space="preserve">Decidir si el tramo sensor, agente y API debe usar TLS para cumplir RNF-SEG-07</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D-03</w:t>
            </w:r>
          </w:p>
        </w:tc>
        <w:tc>
          <w:tcPr>
            <w:tcW w:w="2047" w:type="dxa"/>
          </w:tcPr>
          <w:p>
            <w:pPr>
              <w:pStyle w:val="Compact"/>
              <w:jc w:val="left"/>
            </w:pPr>
            <w:r>
              <w:rPr>
                <w:sz w:val="18"/>
              </w:rPr>
              <w:t xml:space="preserve">Firmware del sensor</w:t>
            </w:r>
          </w:p>
        </w:tc>
        <w:tc>
          <w:tcPr>
            <w:tcW w:w="3338" w:type="dxa"/>
          </w:tcPr>
          <w:p>
            <w:pPr>
              <w:pStyle w:val="Compact"/>
              <w:jc w:val="left"/>
            </w:pPr>
            <w:r>
              <w:rPr>
                <w:sz w:val="18"/>
              </w:rPr>
              <w:t xml:space="preserve">El código del ESP32-S3 no está en el repositorio; Álvaro debe subirlo</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D-04</w:t>
            </w:r>
          </w:p>
        </w:tc>
        <w:tc>
          <w:tcPr>
            <w:tcW w:w="2047" w:type="dxa"/>
          </w:tcPr>
          <w:p>
            <w:pPr>
              <w:pStyle w:val="Compact"/>
              <w:jc w:val="left"/>
            </w:pPr>
            <w:r>
              <w:rPr>
                <w:sz w:val="18"/>
              </w:rPr>
              <w:t xml:space="preserve">Ubicación de Zabbix</w:t>
            </w:r>
          </w:p>
        </w:tc>
        <w:tc>
          <w:tcPr>
            <w:tcW w:w="3338" w:type="dxa"/>
          </w:tcPr>
          <w:p>
            <w:pPr>
              <w:pStyle w:val="Compact"/>
              <w:jc w:val="left"/>
            </w:pPr>
            <w:r>
              <w:rPr>
                <w:sz w:val="18"/>
              </w:rPr>
              <w:t xml:space="preserve">El código lo consulta por URL; confirmar si está on premise y en qué servidor</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D-05</w:t>
            </w:r>
          </w:p>
        </w:tc>
        <w:tc>
          <w:tcPr>
            <w:tcW w:w="2047" w:type="dxa"/>
          </w:tcPr>
          <w:p>
            <w:pPr>
              <w:pStyle w:val="Compact"/>
              <w:jc w:val="left"/>
            </w:pPr>
            <w:r>
              <w:rPr>
                <w:sz w:val="18"/>
              </w:rPr>
              <w:t xml:space="preserve">Registro de eventos</w:t>
            </w:r>
          </w:p>
        </w:tc>
        <w:tc>
          <w:tcPr>
            <w:tcW w:w="3338" w:type="dxa"/>
          </w:tcPr>
          <w:p>
            <w:pPr>
              <w:pStyle w:val="Compact"/>
              <w:jc w:val="left"/>
            </w:pPr>
            <w:r>
              <w:rPr>
                <w:sz w:val="18"/>
              </w:rPr>
              <w:t xml:space="preserve">Aprobar la propuesta de la sección de monitoreo y registro</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D-06</w:t>
            </w:r>
          </w:p>
        </w:tc>
        <w:tc>
          <w:tcPr>
            <w:tcW w:w="2047" w:type="dxa"/>
          </w:tcPr>
          <w:p>
            <w:pPr>
              <w:pStyle w:val="Compact"/>
              <w:jc w:val="left"/>
            </w:pPr>
            <w:r>
              <w:rPr>
                <w:sz w:val="18"/>
              </w:rPr>
              <w:t xml:space="preserve">Documentos pendientes</w:t>
            </w:r>
          </w:p>
        </w:tc>
        <w:tc>
          <w:tcPr>
            <w:tcW w:w="3338" w:type="dxa"/>
          </w:tcPr>
          <w:p>
            <w:pPr>
              <w:pStyle w:val="Compact"/>
              <w:jc w:val="left"/>
            </w:pPr>
            <w:r>
              <w:rPr>
                <w:sz w:val="18"/>
              </w:rPr>
              <w:t xml:space="preserve">Decidir si el personal externo y la gestión de alertas llevan requerimientos propios (cambia los conteos de SICMA-REQ y SICMA-CPR); alinear SICMA-CLA (estados y regla de vuelta a Pendiente), el caso de prueba de RN-03 en SICMA-CPR y los mockups con el código</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D-07</w:t>
            </w:r>
          </w:p>
        </w:tc>
        <w:tc>
          <w:tcPr>
            <w:tcW w:w="2047" w:type="dxa"/>
          </w:tcPr>
          <w:p>
            <w:pPr>
              <w:pStyle w:val="Compact"/>
              <w:jc w:val="left"/>
            </w:pPr>
            <w:r>
              <w:rPr>
                <w:sz w:val="18"/>
              </w:rPr>
              <w:t xml:space="preserve">Integración continua</w:t>
            </w:r>
          </w:p>
        </w:tc>
        <w:tc>
          <w:tcPr>
            <w:tcW w:w="3338" w:type="dxa"/>
          </w:tcPr>
          <w:p>
            <w:pPr>
              <w:pStyle w:val="Compact"/>
              <w:jc w:val="left"/>
            </w:pPr>
            <w:r>
              <w:rPr>
                <w:sz w:val="18"/>
              </w:rPr>
              <w:t xml:space="preserve">Configurar GitHub Actions y SonarQube (RNF-CAL-01)</w:t>
            </w:r>
          </w:p>
        </w:tc>
        <w:tc>
          <w:tcPr>
            <w:tcW w:w="1376" w:type="dxa"/>
          </w:tcPr>
          <w:p>
            <w:pPr>
              <w:pStyle w:val="Compact"/>
              <w:jc w:val="left"/>
            </w:pPr>
            <w:r>
              <w:rPr>
                <w:sz w:val="18"/>
              </w:rPr>
              <w:t xml:space="preserve">Abierto</w:t>
            </w:r>
          </w:p>
        </w:tc>
      </w:tr>
      <w:tr>
        <w:tc>
          <w:tcPr>
            <w:tcW w:w="1157" w:type="dxa"/>
          </w:tcPr>
          <w:p>
            <w:pPr>
              <w:pStyle w:val="Compact"/>
              <w:jc w:val="left"/>
            </w:pPr>
            <w:r>
              <w:rPr>
                <w:sz w:val="18"/>
              </w:rPr>
              <w:t xml:space="preserve">D-08</w:t>
            </w:r>
          </w:p>
        </w:tc>
        <w:tc>
          <w:tcPr>
            <w:tcW w:w="2047" w:type="dxa"/>
          </w:tcPr>
          <w:p>
            <w:pPr>
              <w:pStyle w:val="Compact"/>
              <w:jc w:val="left"/>
            </w:pPr>
            <w:r>
              <w:rPr>
                <w:sz w:val="18"/>
              </w:rPr>
              <w:t xml:space="preserve">Alcance de la prueba de recuperación</w:t>
            </w:r>
          </w:p>
        </w:tc>
        <w:tc>
          <w:tcPr>
            <w:tcW w:w="3338" w:type="dxa"/>
          </w:tcPr>
          <w:p>
            <w:pPr>
              <w:pStyle w:val="Compact"/>
              <w:jc w:val="left"/>
            </w:pPr>
            <w:r>
              <w:rPr>
                <w:sz w:val="18"/>
              </w:rPr>
              <w:t xml:space="preserve">Medir el tiempo de recuperación del primary en la Fase 3 (RNF-DIS-02)</w:t>
            </w:r>
          </w:p>
        </w:tc>
        <w:tc>
          <w:tcPr>
            <w:tcW w:w="1376" w:type="dxa"/>
          </w:tcPr>
          <w:p>
            <w:pPr>
              <w:pStyle w:val="Compact"/>
              <w:jc w:val="left"/>
            </w:pPr>
            <w:r>
              <w:rPr>
                <w:sz w:val="18"/>
              </w:rPr>
              <w:t xml:space="preserve">Aceptado</w:t>
            </w:r>
          </w:p>
        </w:tc>
      </w:tr>
    </w:tbl>
    <w:bookmarkEnd w:id="59"/>
    <w:bookmarkStart w:id="60" w:name="glosario-y-referencias"/>
    <w:p>
      <w:pPr>
        <w:pStyle w:val="Heading2"/>
      </w:pPr>
      <w:r>
        <w:t>Glosario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259"/>
        <w:gridCol w:w="5660"/>
      </w:tblGrid>
      <w:tr>
        <w:trPr>
          <w:tblHeader w:val="true"/>
        </w:trPr>
        <w:tc>
          <w:tcPr>
            <w:tcW w:w="2259" w:type="dxa"/>
            <w:shd w:val="clear" w:color="auto" w:fill="D9E2F3"/>
          </w:tcPr>
          <w:p>
            <w:pPr>
              <w:pStyle w:val="Compact"/>
              <w:jc w:val="left"/>
            </w:pPr>
            <w:r>
              <w:rPr>
                <w:b/>
                <w:sz w:val="18"/>
              </w:rPr>
              <w:t xml:space="preserve">Término</w:t>
            </w:r>
          </w:p>
        </w:tc>
        <w:tc>
          <w:tcPr>
            <w:tcW w:w="5660" w:type="dxa"/>
            <w:shd w:val="clear" w:color="auto" w:fill="D9E2F3"/>
          </w:tcPr>
          <w:p>
            <w:pPr>
              <w:pStyle w:val="Compact"/>
              <w:jc w:val="left"/>
            </w:pPr>
            <w:r>
              <w:rPr>
                <w:b/>
                <w:sz w:val="18"/>
              </w:rPr>
              <w:t xml:space="preserve">Definición</w:t>
            </w:r>
          </w:p>
        </w:tc>
      </w:tr>
      <w:tr>
        <w:tc>
          <w:tcPr>
            <w:tcW w:w="2259" w:type="dxa"/>
          </w:tcPr>
          <w:p>
            <w:pPr>
              <w:pStyle w:val="Compact"/>
              <w:jc w:val="left"/>
            </w:pPr>
            <w:r>
              <w:rPr>
                <w:sz w:val="18"/>
              </w:rPr>
              <w:t xml:space="preserve">4+1</w:t>
            </w:r>
          </w:p>
        </w:tc>
        <w:tc>
          <w:tcPr>
            <w:tcW w:w="5660" w:type="dxa"/>
          </w:tcPr>
          <w:p>
            <w:pPr>
              <w:pStyle w:val="Compact"/>
              <w:jc w:val="left"/>
            </w:pPr>
            <w:r>
              <w:rPr>
                <w:sz w:val="18"/>
              </w:rPr>
              <w:t xml:space="preserve">Modelo de cinco vistas para describir una arquitectura de software</w:t>
            </w:r>
          </w:p>
        </w:tc>
      </w:tr>
      <w:tr>
        <w:tc>
          <w:tcPr>
            <w:tcW w:w="2259" w:type="dxa"/>
          </w:tcPr>
          <w:p>
            <w:pPr>
              <w:pStyle w:val="Compact"/>
              <w:jc w:val="left"/>
            </w:pPr>
            <w:r>
              <w:rPr>
                <w:sz w:val="18"/>
              </w:rPr>
              <w:t xml:space="preserve">API</w:t>
            </w:r>
          </w:p>
        </w:tc>
        <w:tc>
          <w:tcPr>
            <w:tcW w:w="5660" w:type="dxa"/>
          </w:tcPr>
          <w:p>
            <w:pPr>
              <w:pStyle w:val="Compact"/>
              <w:jc w:val="left"/>
            </w:pPr>
            <w:r>
              <w:rPr>
                <w:sz w:val="18"/>
              </w:rPr>
              <w:t xml:space="preserve">Interfaz que un sistema ofrece para que otros programas lo usen</w:t>
            </w:r>
          </w:p>
        </w:tc>
      </w:tr>
      <w:tr>
        <w:tc>
          <w:tcPr>
            <w:tcW w:w="2259" w:type="dxa"/>
          </w:tcPr>
          <w:p>
            <w:pPr>
              <w:pStyle w:val="Compact"/>
              <w:jc w:val="left"/>
            </w:pPr>
            <w:r>
              <w:rPr>
                <w:sz w:val="18"/>
              </w:rPr>
              <w:t xml:space="preserve">CORS</w:t>
            </w:r>
          </w:p>
        </w:tc>
        <w:tc>
          <w:tcPr>
            <w:tcW w:w="5660" w:type="dxa"/>
          </w:tcPr>
          <w:p>
            <w:pPr>
              <w:pStyle w:val="Compact"/>
              <w:jc w:val="left"/>
            </w:pPr>
            <w:r>
              <w:rPr>
                <w:sz w:val="18"/>
              </w:rPr>
              <w:t xml:space="preserve">Mecanismo del navegador que limita qué orígenes pueden llamar a una API</w:t>
            </w:r>
          </w:p>
        </w:tc>
      </w:tr>
      <w:tr>
        <w:tc>
          <w:tcPr>
            <w:tcW w:w="2259" w:type="dxa"/>
          </w:tcPr>
          <w:p>
            <w:pPr>
              <w:pStyle w:val="Compact"/>
              <w:jc w:val="left"/>
            </w:pPr>
            <w:r>
              <w:rPr>
                <w:sz w:val="18"/>
              </w:rPr>
              <w:t xml:space="preserve">CSP</w:t>
            </w:r>
          </w:p>
        </w:tc>
        <w:tc>
          <w:tcPr>
            <w:tcW w:w="5660" w:type="dxa"/>
          </w:tcPr>
          <w:p>
            <w:pPr>
              <w:pStyle w:val="Compact"/>
              <w:jc w:val="left"/>
            </w:pPr>
            <w:r>
              <w:rPr>
                <w:sz w:val="18"/>
              </w:rPr>
              <w:t xml:space="preserve">Política de seguridad de contenido que limita lo que una página web puede cargar</w:t>
            </w:r>
          </w:p>
        </w:tc>
      </w:tr>
      <w:tr>
        <w:tc>
          <w:tcPr>
            <w:tcW w:w="2259" w:type="dxa"/>
          </w:tcPr>
          <w:p>
            <w:pPr>
              <w:pStyle w:val="Compact"/>
              <w:jc w:val="left"/>
            </w:pPr>
            <w:r>
              <w:rPr>
                <w:sz w:val="18"/>
              </w:rPr>
              <w:t xml:space="preserve">IMAP</w:t>
            </w:r>
          </w:p>
        </w:tc>
        <w:tc>
          <w:tcPr>
            <w:tcW w:w="5660" w:type="dxa"/>
          </w:tcPr>
          <w:p>
            <w:pPr>
              <w:pStyle w:val="Compact"/>
              <w:jc w:val="left"/>
            </w:pPr>
            <w:r>
              <w:rPr>
                <w:sz w:val="18"/>
              </w:rPr>
              <w:t xml:space="preserve">Protocolo para leer un buzón de correo desde otro programa</w:t>
            </w:r>
          </w:p>
        </w:tc>
      </w:tr>
      <w:tr>
        <w:tc>
          <w:tcPr>
            <w:tcW w:w="2259" w:type="dxa"/>
          </w:tcPr>
          <w:p>
            <w:pPr>
              <w:pStyle w:val="Compact"/>
              <w:jc w:val="left"/>
            </w:pPr>
            <w:r>
              <w:rPr>
                <w:sz w:val="18"/>
              </w:rPr>
              <w:t xml:space="preserve">InnoDB Cluster</w:t>
            </w:r>
          </w:p>
        </w:tc>
        <w:tc>
          <w:tcPr>
            <w:tcW w:w="5660" w:type="dxa"/>
          </w:tcPr>
          <w:p>
            <w:pPr>
              <w:pStyle w:val="Compact"/>
              <w:jc w:val="left"/>
            </w:pPr>
            <w:r>
              <w:rPr>
                <w:sz w:val="18"/>
              </w:rPr>
              <w:t xml:space="preserve">Conjunto de servidores MySQL replicados con alta disponibilidad</w:t>
            </w:r>
          </w:p>
        </w:tc>
      </w:tr>
      <w:tr>
        <w:tc>
          <w:tcPr>
            <w:tcW w:w="2259" w:type="dxa"/>
          </w:tcPr>
          <w:p>
            <w:pPr>
              <w:pStyle w:val="Compact"/>
              <w:jc w:val="left"/>
            </w:pPr>
            <w:r>
              <w:rPr>
                <w:sz w:val="18"/>
              </w:rPr>
              <w:t xml:space="preserve">JWT</w:t>
            </w:r>
          </w:p>
        </w:tc>
        <w:tc>
          <w:tcPr>
            <w:tcW w:w="5660" w:type="dxa"/>
          </w:tcPr>
          <w:p>
            <w:pPr>
              <w:pStyle w:val="Compact"/>
              <w:jc w:val="left"/>
            </w:pPr>
            <w:r>
              <w:rPr>
                <w:sz w:val="18"/>
              </w:rPr>
              <w:t xml:space="preserve">Token firmado que prueba la identidad de un usuario</w:t>
            </w:r>
          </w:p>
        </w:tc>
      </w:tr>
      <w:tr>
        <w:tc>
          <w:tcPr>
            <w:tcW w:w="2259" w:type="dxa"/>
          </w:tcPr>
          <w:p>
            <w:pPr>
              <w:pStyle w:val="Compact"/>
              <w:jc w:val="left"/>
            </w:pPr>
            <w:r>
              <w:rPr>
                <w:sz w:val="18"/>
              </w:rPr>
              <w:t xml:space="preserve">Primary</w:t>
            </w:r>
          </w:p>
        </w:tc>
        <w:tc>
          <w:tcPr>
            <w:tcW w:w="5660" w:type="dxa"/>
          </w:tcPr>
          <w:p>
            <w:pPr>
              <w:pStyle w:val="Compact"/>
              <w:jc w:val="left"/>
            </w:pPr>
            <w:r>
              <w:rPr>
                <w:sz w:val="18"/>
              </w:rPr>
              <w:t xml:space="preserve">Nodo del cluster que acepta las escrituras</w:t>
            </w:r>
          </w:p>
        </w:tc>
      </w:tr>
      <w:tr>
        <w:tc>
          <w:tcPr>
            <w:tcW w:w="2259" w:type="dxa"/>
          </w:tcPr>
          <w:p>
            <w:pPr>
              <w:pStyle w:val="Compact"/>
              <w:jc w:val="left"/>
            </w:pPr>
            <w:r>
              <w:rPr>
                <w:sz w:val="18"/>
              </w:rPr>
              <w:t xml:space="preserve">Router</w:t>
            </w:r>
          </w:p>
        </w:tc>
        <w:tc>
          <w:tcPr>
            <w:tcW w:w="5660" w:type="dxa"/>
          </w:tcPr>
          <w:p>
            <w:pPr>
              <w:pStyle w:val="Compact"/>
              <w:jc w:val="left"/>
            </w:pPr>
            <w:r>
              <w:rPr>
                <w:sz w:val="18"/>
              </w:rPr>
              <w:t xml:space="preserve">Programa que dirige las conexiones al nodo correcto del cluster</w:t>
            </w:r>
          </w:p>
        </w:tc>
      </w:tr>
      <w:tr>
        <w:tc>
          <w:tcPr>
            <w:tcW w:w="2259" w:type="dxa"/>
          </w:tcPr>
          <w:p>
            <w:pPr>
              <w:pStyle w:val="Compact"/>
              <w:jc w:val="left"/>
            </w:pPr>
            <w:r>
              <w:rPr>
                <w:sz w:val="18"/>
              </w:rPr>
              <w:t xml:space="preserve">Webhook</w:t>
            </w:r>
          </w:p>
        </w:tc>
        <w:tc>
          <w:tcPr>
            <w:tcW w:w="5660" w:type="dxa"/>
          </w:tcPr>
          <w:p>
            <w:pPr>
              <w:pStyle w:val="Compact"/>
              <w:jc w:val="left"/>
            </w:pPr>
            <w:r>
              <w:rPr>
                <w:sz w:val="18"/>
              </w:rPr>
              <w:t xml:space="preserve">Aviso que un sistema envía por HTTP cuando ocurre un evento</w:t>
            </w:r>
          </w:p>
        </w:tc>
      </w:tr>
    </w:tbl>
    <w:p>
      <w:pPr>
        <w:pStyle w:val="Heading2"/>
        <w:pageBreakBefore/>
      </w:pPr>
      <w:r>
        <w:t>Referencias</w:t>
      </w:r>
    </w:p>
    <w:p>
      <w:pPr>
        <w:pStyle w:val="BodyText"/>
        <w:keepNext/>
        <w:spacing w:line="360" w:lineRule="auto" w:before="160" w:after="0"/>
        <w:ind w:firstLine="709"/>
        <w:jc w:val="both"/>
      </w:pPr>
      <w:r>
        <w:rPr>
          <w:b/>
          <w:sz w:val="22"/>
        </w:rPr>
        <w:t>Documentos del proyecto</w:t>
      </w:r>
    </w:p>
    <w:p>
      <w:pPr>
        <w:pStyle w:val="Compact"/>
        <w:spacing w:after="60"/>
        <w:ind w:left="510" w:hanging="510"/>
      </w:pPr>
      <w:r>
        <w:rPr>
          <w:b w:val="0"/>
        </w:rPr>
        <w:t>[1] Equipo SICMA. Formato Universal de documentos SICMA. 2026.</w:t>
      </w:r>
    </w:p>
    <w:p>
      <w:pPr>
        <w:pStyle w:val="Compact"/>
        <w:spacing w:after="60"/>
        <w:ind w:left="510" w:hanging="510"/>
      </w:pPr>
      <w:r>
        <w:rPr>
          <w:b w:val="0"/>
        </w:rPr>
        <w:t>[2] SICMA-REQ v1.1. Requerimientos. Equipo SICMA, 2026-10-26.</w:t>
      </w:r>
    </w:p>
    <w:p>
      <w:pPr>
        <w:pStyle w:val="Compact"/>
        <w:spacing w:after="60"/>
        <w:ind w:left="510" w:hanging="510"/>
      </w:pPr>
      <w:r>
        <w:rPr>
          <w:b w:val="0"/>
        </w:rPr>
        <w:t>[3] SICMA-CUS v1.1. Casos de Uso. Equipo SICMA, 2026-10-26.</w:t>
      </w:r>
    </w:p>
    <w:p>
      <w:pPr>
        <w:pStyle w:val="Compact"/>
        <w:spacing w:after="60"/>
        <w:ind w:left="510" w:hanging="510"/>
      </w:pPr>
      <w:r>
        <w:rPr>
          <w:b w:val="0"/>
        </w:rPr>
        <w:t>[4] SICMA-CLA v1.1. Diagrama de Clases. Equipo SICMA, 2026-10-26.</w:t>
      </w:r>
    </w:p>
    <w:p>
      <w:pPr>
        <w:pStyle w:val="Compact"/>
        <w:spacing w:after="60"/>
        <w:ind w:left="510" w:hanging="510"/>
      </w:pPr>
      <w:r>
        <w:rPr>
          <w:b w:val="0"/>
        </w:rPr>
        <w:t>[5] SICMA-ACT v1.1. Diagramas de Actividad. Equipo SICMA, 2026-10-26.</w:t>
      </w:r>
    </w:p>
    <w:p>
      <w:pPr>
        <w:pStyle w:val="Compact"/>
        <w:spacing w:after="60"/>
        <w:ind w:left="510" w:hanging="510"/>
      </w:pPr>
      <w:r>
        <w:rPr>
          <w:b w:val="0"/>
        </w:rPr>
        <w:t>[6] SICMA-BDD v1.1. Modelo de Base de Datos. Equipo SICMA, 2026-10-26.</w:t>
      </w:r>
    </w:p>
    <w:p>
      <w:pPr>
        <w:pStyle w:val="Compact"/>
        <w:spacing w:after="60"/>
        <w:ind w:left="510" w:hanging="510"/>
      </w:pPr>
      <w:r>
        <w:rPr>
          <w:b w:val="0"/>
        </w:rPr>
        <w:t>[7] SICMA-CPR v1.1. Casos de Prueba. Equipo SICMA, 2026-10-26.</w:t>
      </w:r>
    </w:p>
    <w:p>
      <w:pPr>
        <w:pStyle w:val="Compact"/>
        <w:spacing w:after="60"/>
        <w:ind w:left="510" w:hanging="510"/>
      </w:pPr>
      <w:r>
        <w:rPr>
          <w:b w:val="0"/>
        </w:rPr>
        <w:t>[8] SICMA-PRY v1.2. Plan del Proyecto. Equipo SICMA, 2026-10-26.</w:t>
      </w:r>
    </w:p>
    <w:p>
      <w:pPr>
        <w:pStyle w:val="Compact"/>
        <w:spacing w:after="60"/>
        <w:ind w:left="510" w:hanging="510"/>
      </w:pPr>
      <w:r>
        <w:rPr>
          <w:b w:val="0"/>
        </w:rPr>
        <w:t>[9] SICMA-ESO v1.1. Impacto Ético, Social y Sostenibilidad. Equipo SICMA, 2026-10-26.</w:t>
      </w:r>
    </w:p>
    <w:p>
      <w:pPr>
        <w:pStyle w:val="BodyText"/>
        <w:keepNext/>
        <w:spacing w:line="360" w:lineRule="auto" w:before="160" w:after="0"/>
        <w:ind w:firstLine="709"/>
        <w:jc w:val="both"/>
      </w:pPr>
      <w:r>
        <w:rPr>
          <w:b/>
          <w:sz w:val="22"/>
        </w:rPr>
        <w:t>Normas y fuentes externas</w:t>
      </w:r>
    </w:p>
    <w:p>
      <w:pPr>
        <w:pStyle w:val="Compact"/>
        <w:spacing w:after="60"/>
        <w:ind w:left="510" w:hanging="510"/>
      </w:pPr>
      <w:r>
        <w:rPr>
          <w:b w:val="0"/>
        </w:rPr>
        <w:t>[10] Kruchten, P. (1995). Architectural Blueprints, the "4+1" View Model of Software Architecture. IEEE Software, 12(6), 42-50. https://doi.org/10.1109/52.469759</w:t>
      </w:r>
    </w:p>
    <w:p>
      <w:pPr>
        <w:pStyle w:val="Compact"/>
        <w:spacing w:after="60"/>
        <w:ind w:left="510" w:hanging="510"/>
      </w:pPr>
      <w:r>
        <w:rPr>
          <w:b w:val="0"/>
        </w:rPr>
        <w:t>[11] Cloudflare. Cloudflare Tunnel. https://developers.cloudflare.com/tunnel/</w:t>
      </w:r>
    </w:p>
    <w:p>
      <w:pPr>
        <w:pStyle w:val="Compact"/>
        <w:spacing w:after="60"/>
        <w:ind w:left="510" w:hanging="510"/>
      </w:pPr>
      <w:r>
        <w:rPr>
          <w:b w:val="0"/>
        </w:rPr>
        <w:t>[12] Oracle. MySQL Reference Manual, Group Replication y InnoDB Cluster (Getting Started). https://dev.mysql.com/doc/en/group-replication-getting-started.html</w:t>
      </w:r>
    </w:p>
    <w:p>
      <w:pPr>
        <w:pStyle w:val="Compact"/>
        <w:spacing w:after="60"/>
        <w:ind w:left="510" w:hanging="510"/>
      </w:pPr>
      <w:r>
        <w:rPr>
          <w:b w:val="0"/>
        </w:rPr>
        <w:t>[13] OWASP Foundation. (2021). OWASP Top 10:2021. https://owasp.org/Top10/</w:t>
      </w:r>
    </w:p>
    <w:bookmarkEnd w:id="60"/>
    <w:sectPr>
      <w:footerReference w:type="default" r:id="rId9"/>
      <w:pgSz w:w="12240" w:h="15840"/>
      <w:pgMar w:left="1701" w:right="1701" w:top="1701" w:bottom="1701" w:header="850" w:footer="96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SICMA-ARQ · Versión 1.0 · Página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de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s-CL"/>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s-CL" w:val="es-C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Primer párrafo"/>
    <w:basedOn w:val="BodyText"/>
    <w:next w:val="BodyText"/>
    <w:qFormat/>
    <w:rPr>
      <w:rFonts w:ascii="Calibri" w:hAnsi="Calibri" w:cs="Calibri" w:eastAsia="Calibri"/>
      <w:sz w:val="21"/>
    </w:rPr>
  </w:style>
  <w:style w:customStyle="1" w:styleId="Compact" w:type="paragraph">
    <w:name w:val="Compacto"/>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a"/>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Leyenda de tabla"/>
    <w:basedOn w:val="Caption"/>
    <w:pPr>
      <w:keepNext/>
    </w:pPr>
    <w:rPr>
      <w:rFonts w:ascii="Calibri" w:hAnsi="Calibri" w:cs="Calibri" w:eastAsia="Calibri"/>
    </w:rPr>
  </w:style>
  <w:style w:customStyle="1" w:styleId="ImageCaption" w:type="paragraph">
    <w:name w:val="Leyenda de image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Figura con leyenda"/>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Carácter literal"/>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Código fuent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basedOn w:val="Normal"/>
    <w:pPr>
      <w:tabs>
        <w:tab w:pos="8838" w:val="right" w:leader="dot"/>
      </w:tabs>
      <w:spacing w:after="60" w:before="80"/>
      <w:ind w:left="0"/>
    </w:pPr>
    <w:rPr>
      <w:b/>
      <w:sz w:val="20"/>
    </w:rPr>
  </w:style>
  <w:style w:type="paragraph" w:customStyle="1" w:styleId="toc2">
    <w:name w:val="toc 2"/>
    <w:basedOn w:val="Normal"/>
    <w:pPr>
      <w:tabs>
        <w:tab w:pos="8838" w:val="right" w:leader="dot"/>
      </w:tabs>
      <w:spacing w:after="40" w:before="0"/>
      <w:ind w:left="283"/>
    </w:pPr>
    <w:rPr>
      <w:b w:val="0"/>
      <w:sz w:val="20"/>
    </w:rPr>
  </w:style>
  <w:style w:type="paragraph" w:customStyle="1" w:styleId="toc3">
    <w:name w:val="toc 3"/>
    <w:basedOn w:val="Normal"/>
    <w:pPr>
      <w:tabs>
        <w:tab w:pos="8838" w:val="right" w:leader="dot"/>
      </w:tabs>
      <w:spacing w:after="40" w:before="0"/>
      <w:ind w:left="567"/>
    </w:pPr>
    <w:rPr>
      <w:b w:val="0"/>
      <w:sz w:val="20"/>
    </w:rPr>
  </w:style>
  <w:style w:type="paragraph" w:customStyle="1" w:styleId="toc4">
    <w:name w:val="toc 4"/>
    <w:basedOn w:val="Normal"/>
    <w:pPr>
      <w:tabs>
        <w:tab w:pos="8838" w:val="right" w:leader="dot"/>
      </w:tabs>
      <w:spacing w:after="40" w:before="0"/>
      <w:ind w:left="850"/>
    </w:pPr>
    <w:rPr>
      <w:b w:val="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png"/><Relationship Id="rId34" Type="http://schemas.openxmlformats.org/officeDocument/2006/relationships/image" Target="media/rId34.png"/><Relationship Id="rId25" Type="http://schemas.openxmlformats.org/officeDocument/2006/relationships/image" Target="media/rId25.png"/><Relationship Id="rId30" Type="http://schemas.openxmlformats.org/officeDocument/2006/relationships/image" Target="media/rId30.png"/><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Arquitectura del Sistema</dc:title>
  <dc:creator/>
  <cp:keywords/>
  <dcterms:created xsi:type="dcterms:W3CDTF">2026-10-26T15:30:10Z</dcterms:created>
  <dcterms:modified xsi:type="dcterms:W3CDTF">2026-10-26T15:30:10Z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2026-10-26</vt:lpwstr>
  </property>
  <property fmtid="{D5CDD505-2E9C-101B-9397-08002B2CF9AE}" pid="3" name="subtitle">
    <vt:lpwstr>SICMA-ARQ · Versión 1.0 · Vigente</vt:lpwstr>
  </property>
</Properties>
</file>