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6</w:t>
      </w:r>
    </w:p>
    <w:p>
      <w:pPr>
        <w:pStyle w:val="toc2"/>
      </w:pPr>
      <w:r>
        <w:t>Identidad y acceso (RF-ID)</w:t>
      </w:r>
      <w:r>
        <w:tab/>
      </w:r>
      <w:r>
        <w:t>6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7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8</w:t>
      </w:r>
    </w:p>
    <w:p>
      <w:pPr>
        <w:pStyle w:val="toc2"/>
      </w:pPr>
      <w:r>
        <w:t>Plataforma (RF-PLT)</w:t>
      </w:r>
      <w:r>
        <w:tab/>
      </w:r>
      <w:r>
        <w:t>8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10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11</w:t>
      </w:r>
    </w:p>
    <w:p>
      <w:pPr>
        <w:pStyle w:val="toc1"/>
      </w:pPr>
      <w:r>
        <w:t>Valores de referencia de los no funcionales</w:t>
      </w:r>
      <w:r>
        <w:tab/>
      </w:r>
      <w:r>
        <w:t>12</w:t>
      </w:r>
    </w:p>
    <w:p>
      <w:pPr>
        <w:pStyle w:val="toc1"/>
      </w:pPr>
      <w:r>
        <w:t>Criterios globales de aceptación</w:t>
      </w:r>
      <w:r>
        <w:tab/>
      </w:r>
      <w:r>
        <w:t>12</w:t>
      </w:r>
    </w:p>
    <w:p>
      <w:pPr>
        <w:pStyle w:val="toc1"/>
      </w:pPr>
      <w:r>
        <w:t>Historias de usuario</w:t>
      </w:r>
      <w:r>
        <w:tab/>
      </w:r>
      <w:r>
        <w:t>13</w:t>
      </w:r>
    </w:p>
    <w:p>
      <w:pPr>
        <w:pStyle w:val="toc1"/>
      </w:pPr>
      <w:r>
        <w:t>Verificación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</w:t>
      </w:r>
      <w:r>
        <w:tab/>
      </w:r>
      <w:r>
        <w:t>16</w:t>
      </w:r>
    </w:p>
    <w:p>
      <w:pPr>
        <w:pStyle w:val="toc1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45"/>
        <w:gridCol w:w="3870"/>
      </w:tblGrid>
      <w:tr>
        <w:trPr>
          <w:tblHeader w:val="true"/>
          <w:cantSplit/>
        </w:trPr>
        <w:tc>
          <w:tcPr>
            <w:tcW w:w="40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8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alinean los requerimientos con el código del 25 de octubre (commit 59710a5d): lector SecuGen (cierra D-03), comunicación con Power Automate por correo (cierra D-02), roles Administrador Privilegiado y Contratistas, estados de la intervención, personal externo y plantillas solo en el PC del lector. No cambia la cantidad de requerimientos. Corrección del mismo día: la matriz de permisos agrega las columnas Administrador Privilegiado y Contratistas, y RN-03 se alinea con el código: la asignación puede ajustar activos, horario y personal sin volver a Pendiente.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91"/>
        <w:gridCol w:w="3990"/>
        <w:gridCol w:w="1631"/>
      </w:tblGrid>
      <w:tr>
        <w:trPr>
          <w:tblHeader w:val="true"/>
          <w:cantSplit/>
        </w:trPr>
        <w:tc>
          <w:tcPr>
            <w:tcW w:w="22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rPr>
          <w:cantSplit/>
        </w:trP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74"/>
        <w:gridCol w:w="2074"/>
        <w:gridCol w:w="3765"/>
      </w:tblGrid>
      <w:tr>
        <w:trPr>
          <w:tblHeader w:val="true"/>
          <w:cantSplit/>
        </w:trPr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7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Crea, modifica y desactiva cuentas, asigna roles, asigna el Técnico a cada intervención aprobada, mantiene los catálogos y es el único que retira activos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Administrador Privilegiado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Gestiona las cuentas de los administradores y la seguridad de las sesiones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Consulta los dashboards con los indicadores de gestión, aprueba o rechaza las intervenciones y puede cancelarlas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 la plataforma: activos, lecturas, eventos e intervenciones, y reconoce y cierra alertas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Contratistas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Enrola y habilita al personal externo y define sus permisos por día</w:t>
            </w:r>
          </w:p>
        </w:tc>
      </w:tr>
      <w:tr>
        <w:trPr>
          <w:cantSplit/>
        </w:trP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4533"/>
        <w:gridCol w:w="1480"/>
      </w:tblGrid>
      <w:tr>
        <w:trPr>
          <w:tblHeader w:val="true"/>
          <w:cantSplit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sistema debe asignar a cada usuario uno de los roles Administrador, Administrador Privilegiado, Jefatura, Técnico, Auditor o Contratistas.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7"/>
        <w:gridCol w:w="4480"/>
        <w:gridCol w:w="1486"/>
      </w:tblGrid>
      <w:tr>
        <w:trPr>
          <w:tblHeader w:val="true"/>
          <w:cantSplit/>
        </w:trPr>
        <w:tc>
          <w:tcPr>
            <w:tcW w:w="19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4490"/>
        <w:gridCol w:w="1473"/>
      </w:tblGrid>
      <w:tr>
        <w:trPr>
          <w:tblHeader w:val="true"/>
          <w:cantSplit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4"/>
        <w:gridCol w:w="4516"/>
        <w:gridCol w:w="1462"/>
      </w:tblGrid>
      <w:tr>
        <w:trPr>
          <w:tblHeader w:val="true"/>
          <w:cantSplit/>
        </w:trPr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455"/>
        <w:gridCol w:w="1524"/>
      </w:tblGrid>
      <w:tr>
        <w:trPr>
          <w:tblHeader w:val="true"/>
          <w:cantSplit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5"/>
        <w:gridCol w:w="4435"/>
        <w:gridCol w:w="1534"/>
      </w:tblGrid>
      <w:tr>
        <w:trPr>
          <w:tblHeader w:val="true"/>
          <w:cantSplit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Administrador y el rol Contratistas deben poder enrolar y habilitar al personal externo, asociando a cada persona su identificador de huella en el lector SecuGen.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528"/>
        <w:gridCol w:w="1450"/>
      </w:tblGrid>
      <w:tr>
        <w:trPr>
          <w:tblHeader w:val="true"/>
          <w:cantSplit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Jefatura debe poder aprobar o rechazar la intervención en Microsoft Teams, con un flujo de Power Automate que entrega la decisión a SICMA por correo.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94"/>
        <w:gridCol w:w="4361"/>
        <w:gridCol w:w="1658"/>
      </w:tblGrid>
      <w:tr>
        <w:trPr>
          <w:tblHeader w:val="true"/>
          <w:cantSplit/>
        </w:trPr>
        <w:tc>
          <w:tcPr>
            <w:tcW w:w="18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3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72"/>
        <w:gridCol w:w="4270"/>
        <w:gridCol w:w="1672"/>
      </w:tblGrid>
      <w:tr>
        <w:trPr>
          <w:tblHeader w:val="true"/>
          <w:cantSplit/>
        </w:trPr>
        <w:tc>
          <w:tcPr>
            <w:tcW w:w="1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0"/>
        <w:gridCol w:w="3585"/>
        <w:gridCol w:w="1163"/>
        <w:gridCol w:w="1512"/>
      </w:tblGrid>
      <w:tr>
        <w:trPr>
          <w:tblHeader w:val="true"/>
          <w:cantSplit/>
        </w:trPr>
        <w:tc>
          <w:tcPr>
            <w:tcW w:w="16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1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5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tratamiento de datos personales debe cumplir la Ley 19.628. SICMA no almacena huellas ni plantillas; las plantillas quedan cifradas solo en el PC del lector. Falta verificar la Ley 21.719 (D-09).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0"/>
        <w:gridCol w:w="1137"/>
        <w:gridCol w:w="1733"/>
        <w:gridCol w:w="1694"/>
        <w:gridCol w:w="1615"/>
      </w:tblGrid>
      <w:tr>
        <w:trPr>
          <w:tblHeader w:val="true"/>
          <w:cantSplit/>
        </w:trPr>
        <w:tc>
          <w:tcPr>
            <w:tcW w:w="1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1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6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6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de huellas SecuGen y su agente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USB a un PC con un agente que reconoce la huella y envía solo el identificador por HTTP, con las cabeceras X-Punto-Acceso y X-Device-Key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RF-ACC-01, RF-ACC-02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Definida (D-03)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Correo con la etiqueta [SICMA-INT] y un cuerpo JSON; SICMA lee el buzón por IMAP cada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Definida (D-02)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rPr>
          <w:cantSplit/>
        </w:trP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6"/>
        <w:gridCol w:w="3623"/>
        <w:gridCol w:w="2334"/>
      </w:tblGrid>
      <w:tr>
        <w:trPr>
          <w:tblHeader w:val="true"/>
          <w:cantSplit/>
        </w:trPr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36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3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con cuenta en SICMA.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RF-ID-01, RF-ID-04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Administrador, Administrador Privilegiado, Jefatura, Técnico, Auditor o Contratistas.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autorizada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externa con su identificador de huella, su estado y sus permisos por día. No se guarda la huella.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RF-ACC-01, RF-ACC-02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rPr>
          <w:cantSplit/>
        </w:trP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El código del 25 de octubre (commit 59710a5d) agrega dos roles, que ahora tienen su columna en la matriz (Admin. es Administrador, Admin. Priv. es Administrador Privilegiado y Contrat. es Contratistas). El Administrador Privilegiado tiene los permisos del Administrador y además gestiona las cuentas de los administradores y la seguridad de las sesiones. Contratistas enrola y habilita al personal externo, con consulta y ejecución sobre las huellas de acceso. Además, solo el Administrador retira activos, el Técnico y el Administrador reconocen y cierran alertas, la Jefatura puede cancelar intervenciones y el Técnico no ve el registro de accesos. Dos diferencias entre la matriz y el código: Jefatura y Auditor no consultan la lista de cuentas, y el Administrador puede iniciar y cerrar una intervención en lugar del técnico.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47"/>
        <w:gridCol w:w="908"/>
        <w:gridCol w:w="908"/>
        <w:gridCol w:w="908"/>
        <w:gridCol w:w="908"/>
        <w:gridCol w:w="908"/>
        <w:gridCol w:w="908"/>
      </w:tblGrid>
      <w:tr>
        <w:trPr>
          <w:tblHeader w:val="true"/>
          <w:cantSplit/>
        </w:trPr>
        <w:tc>
          <w:tcPr>
            <w:tcW w:w="24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Admin.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Admin. Priv.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  <w:tc>
          <w:tcPr>
            <w:tcW w:w="90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Contrat.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C/E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w="24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90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-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86"/>
        <w:gridCol w:w="5829"/>
      </w:tblGrid>
      <w:tr>
        <w:trPr>
          <w:tblHeader w:val="true"/>
          <w:cantSplit/>
        </w:trPr>
        <w:tc>
          <w:tcPr>
            <w:tcW w:w="20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intervención aprobada solo cambia sus activos, horario y personal externo cuando el Administrador la asigna, y ese cambio no vuelve a pedir la aprobación de la Jefatura.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plantillas de huella no salen del PC del lector, donde quedan cifradas; a SICMA solo viaja el identificador reconocido.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Una intervención pasa por los estados Pendiente, CambiosSolicitados, Aprobada, Rechazada, EnEjecucion, Ejecutada, Fallida o Cancelada.</w:t>
            </w:r>
          </w:p>
        </w:tc>
      </w:tr>
      <w:tr>
        <w:trPr>
          <w:cantSplit/>
        </w:trP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RN-13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Solo el Administrador puede retirar un activo.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5490"/>
      </w:tblGrid>
      <w:tr>
        <w:trPr>
          <w:tblHeader w:val="true"/>
          <w:cantSplit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5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rPr>
          <w:cantSplit/>
        </w:trP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6"/>
        <w:gridCol w:w="5809"/>
      </w:tblGrid>
      <w:tr>
        <w:trPr>
          <w:tblHeader w:val="true"/>
          <w:cantSplit/>
        </w:trPr>
        <w:tc>
          <w:tcPr>
            <w:tcW w:w="21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rPr>
          <w:cantSplit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60"/>
        <w:gridCol w:w="1044"/>
        <w:gridCol w:w="1956"/>
        <w:gridCol w:w="1757"/>
        <w:gridCol w:w="1236"/>
        <w:gridCol w:w="1043"/>
      </w:tblGrid>
      <w:tr>
        <w:trPr>
          <w:tblHeader w:val="true"/>
          <w:cantSplit/>
        </w:trPr>
        <w:tc>
          <w:tcPr>
            <w:tcW w:w="8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0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2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0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rPr>
          <w:cantSplit/>
        </w:trP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11"/>
        <w:gridCol w:w="5204"/>
      </w:tblGrid>
      <w:tr>
        <w:trPr>
          <w:tblHeader w:val="true"/>
          <w:cantSplit/>
        </w:trPr>
        <w:tc>
          <w:tcPr>
            <w:tcW w:w="27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2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Prueba con el lector SecuGen: acceso permitido y denegado quedan registrados, y SICMA no almacena huellas.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rPr>
          <w:cantSplit/>
        </w:trP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2"/>
        <w:gridCol w:w="2368"/>
        <w:gridCol w:w="1910"/>
        <w:gridCol w:w="1910"/>
      </w:tblGrid>
      <w:tr>
        <w:trPr>
          <w:tblHeader w:val="true"/>
          <w:cantSplit/>
        </w:trPr>
        <w:tc>
          <w:tcPr>
            <w:tcW w:w="17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3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4"/>
        <w:gridCol w:w="2372"/>
        <w:gridCol w:w="2119"/>
        <w:gridCol w:w="1375"/>
        <w:gridCol w:w="1107"/>
      </w:tblGrid>
      <w:tr>
        <w:trPr>
          <w:tblHeader w:val="true"/>
          <w:cantSplit/>
        </w:trPr>
        <w:tc>
          <w:tcPr>
            <w:tcW w:w="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SICMA lee el buzón por IMAP cada minuto y envía por correo la agenda al flujo.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y software del lector, y cómo llegan los registros a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Hamster Plus con el SDK FDx 4.3.1; un agente en el PC envía solo el identificador a la API.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 matriz de este documento, más los roles Administrador Privilegiado y Contratistas descritos bajo la tabla.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5479"/>
      </w:tblGrid>
      <w:tr>
        <w:trPr>
          <w:tblHeader w:val="true"/>
          <w:cantSplit/>
        </w:trPr>
        <w:tc>
          <w:tcPr>
            <w:tcW w:w="24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rPr>
          <w:cantSplit/>
        </w:trP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SecuGen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Fabricante del lector de huellas Hamster Plus usado en el control de acceso.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