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drawing>
          <wp:inline>
            <wp:extent cx="2376000" cy="7683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768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0" w:after="0"/>
      </w:pPr>
    </w:p>
    <w:p>
      <w:pPr>
        <w:spacing w:before="0" w:after="0"/>
      </w:pPr>
      <w:r>
        <w:rPr>
          <w:b/>
          <w:color w:val="002840"/>
          <w:sz w:val="120"/>
        </w:rPr>
        <w:t>SICMA</w:t>
      </w:r>
    </w:p>
    <w:p>
      <w:pPr>
        <w:spacing w:before="0" w:after="200"/>
      </w:pPr>
      <w:r>
        <w:rPr>
          <w:b w:val="0"/>
          <w:color w:val="5A6672"/>
          <w:sz w:val="32"/>
        </w:rPr>
        <w:t>Sistema Integrado de Control y Monitoreo de Activos</w:t>
      </w:r>
    </w:p>
    <w:p>
      <w:pPr>
        <w:spacing w:before="0" w:after="280"/>
        <w:pBdr>
          <w:bottom w:val="single" w:sz="24" w:space="6" w:color="F8B000"/>
        </w:pBdr>
      </w:pPr>
    </w:p>
    <w:p>
      <w:pPr>
        <w:spacing w:before="120" w:after="120"/>
      </w:pPr>
      <w:r>
        <w:rPr>
          <w:b/>
          <w:color w:val="002840"/>
          <w:sz w:val="60"/>
        </w:rPr>
        <w:t>Plan de Pruebas</w:t>
      </w:r>
    </w:p>
    <w:p>
      <w:pPr>
        <w:spacing w:before="0" w:after="0"/>
      </w:pPr>
      <w:r>
        <w:rPr>
          <w:b/>
          <w:color w:val="002840"/>
          <w:sz w:val="26"/>
        </w:rPr>
        <w:t>SICMA-PLP</w:t>
      </w:r>
      <w:r>
        <w:rPr>
          <w:color w:val="5A6672"/>
          <w:sz w:val="26"/>
        </w:rPr>
        <w:t xml:space="preserve">  ·  </w:t>
      </w:r>
      <w:r>
        <w:rPr>
          <w:b/>
          <w:color w:val="FFFFFF"/>
          <w:sz w:val="21"/>
          <w:shd w:val="clear" w:color="auto" w:fill="002840"/>
        </w:rPr>
        <w:t xml:space="preserve"> VIGENTE </w:t>
      </w:r>
    </w:p>
    <w:p>
      <w:pPr>
        <w:spacing w:before="2100" w:after="0"/>
      </w:pPr>
    </w:p>
    <w:tbl>
      <w:tblPr>
        <w:tblW w:type="auto" w:w="0"/>
        <w:tblLayout w:type="fixed"/>
        <w:tblBorders>
          <w:top w:val="single" w:sz="6" w:color="B8C0C8"/>
        </w:tblBorders>
        <w:tblInd w:w="108" w:type="dxa"/>
      </w:tblPr>
      <w:tblGrid>
        <w:gridCol w:w="4873"/>
        <w:gridCol w:w="4873"/>
      </w:tblGrid>
      <w:tr>
        <w:tc>
          <w:tcPr>
            <w:tcW w:type="dxa" w:w="4762"/>
            <w:tcMar>
              <w:top w:w="160" w:type="dxa"/>
              <w:left w:w="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5A6672"/>
                <w:sz w:val="17"/>
              </w:rPr>
              <w:t>EQUIPO DEL PROYECTO</w:t>
            </w:r>
          </w:p>
          <w:p>
            <w:pPr>
              <w:spacing w:before="40" w:after="0"/>
            </w:pPr>
            <w:r>
              <w:rPr>
                <w:sz w:val="23"/>
              </w:rPr>
              <w:t>Álvaro Antonio González Briones</w:t>
            </w:r>
          </w:p>
          <w:p>
            <w:pPr>
              <w:spacing w:before="40" w:after="0"/>
            </w:pPr>
            <w:r>
              <w:rPr>
                <w:sz w:val="23"/>
              </w:rPr>
              <w:t>Claudio Alejandro Varas Toro</w:t>
            </w:r>
          </w:p>
          <w:p>
            <w:pPr>
              <w:spacing w:before="40" w:after="0"/>
            </w:pPr>
            <w:r>
              <w:rPr>
                <w:sz w:val="23"/>
              </w:rPr>
              <w:t>Fidel Argenis Rodríguez Prieto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DOCENTE</w:t>
            </w:r>
          </w:p>
          <w:p>
            <w:pPr>
              <w:spacing w:before="40" w:after="0"/>
            </w:pPr>
            <w:r>
              <w:rPr>
                <w:sz w:val="23"/>
              </w:rPr>
              <w:t>Luis Bravo</w:t>
            </w:r>
          </w:p>
        </w:tc>
        <w:tc>
          <w:tcPr>
            <w:tcW w:type="dxa" w:w="4762"/>
            <w:tcMar>
              <w:top w:w="160" w:type="dxa"/>
              <w:left w:w="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5A6672"/>
                <w:sz w:val="17"/>
              </w:rPr>
              <w:t>FECHA DE LA VERSIÓN</w:t>
            </w:r>
          </w:p>
          <w:p>
            <w:pPr>
              <w:spacing w:before="40" w:after="0"/>
            </w:pPr>
            <w:r>
              <w:rPr>
                <w:sz w:val="23"/>
              </w:rPr>
              <w:t>17 de octubre de 2026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CARRERA</w:t>
            </w:r>
          </w:p>
          <w:p>
            <w:pPr>
              <w:spacing w:before="40" w:after="0"/>
            </w:pPr>
            <w:r>
              <w:rPr>
                <w:sz w:val="23"/>
              </w:rPr>
              <w:t>Ingeniería Informática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ASIGNATURA</w:t>
            </w:r>
          </w:p>
          <w:p>
            <w:pPr>
              <w:spacing w:before="40" w:after="0"/>
            </w:pPr>
            <w:r>
              <w:rPr>
                <w:sz w:val="23"/>
              </w:rPr>
              <w:t>Portafolio de Título · Proyecto APT</w:t>
            </w:r>
          </w:p>
        </w:tc>
      </w:tr>
    </w:tbl>
    <w:p>
      <w:pPr>
        <w:spacing w:before="520" w:after="0"/>
      </w:pPr>
      <w:r>
        <w:rPr>
          <w:b w:val="0"/>
          <w:color w:val="5A6672"/>
          <w:sz w:val="18"/>
        </w:rPr>
        <w:t>Duoc UC · Escuela de Informática y Telecomunicaciones · Sede Plaza Oeste · Santiago de Chile</w:t>
      </w:r>
    </w:p>
    <w:p>
      <w:pPr>
        <w:pStyle w:val="Title"/>
        <w:pageBreakBefore/>
      </w:pPr>
      <w:r>
        <w:t xml:space="preserve">SICMA</w:t>
      </w:r>
      <w:r>
        <w:t xml:space="preserve"> </w:t>
      </w:r>
      <w:r>
        <w:t xml:space="preserve">·</w:t>
      </w:r>
      <w:r>
        <w:t xml:space="preserve"> </w:t>
      </w:r>
      <w:r>
        <w:t xml:space="preserve">Plan</w:t>
      </w:r>
      <w:r>
        <w:t xml:space="preserve"> </w:t>
      </w:r>
      <w:r>
        <w:t xml:space="preserve">de</w:t>
      </w:r>
      <w:r>
        <w:t xml:space="preserve"> </w:t>
      </w:r>
      <w:r>
        <w:t xml:space="preserve">Pruebas</w:t>
      </w:r>
    </w:p>
    <w:p>
      <w:pPr>
        <w:pStyle w:val="Subtitle"/>
      </w:pPr>
      <w:r>
        <w:t>SICMA-PLP · Versión 1.0 · Vigente</w:t>
      </w:r>
      <w:r/>
      <w:r/>
      <w:r/>
      <w:r/>
      <w:r/>
      <w:r/>
      <w:r/>
      <w:r/>
      <w:r/>
      <w:r/>
    </w:p>
    <w:p>
      <w:pPr>
        <w:pStyle w:val="Date"/>
      </w:pPr>
      <w:r>
        <w:t>2026-10-17</w:t>
      </w:r>
    </w:p>
    <w:p>
      <w:pPr>
        <w:spacing w:before="360" w:after="160"/>
      </w:pPr>
      <w:r>
        <w:rPr>
          <w:b/>
          <w:color w:val="002840"/>
          <w:sz w:val="32"/>
        </w:rPr>
        <w:t>Tabla de contenido</w:t>
      </w:r>
    </w:p>
    <w:p>
      <w:pPr>
        <w:pStyle w:val="toc1"/>
      </w:pPr>
      <w:r>
        <w:fldChar w:fldCharType="begin"/>
      </w:r>
      <w:r>
        <w:instrText xml:space="preserve"> TOC \o "2-3" \h \z \u </w:instrText>
      </w:r>
      <w:r>
        <w:fldChar w:fldCharType="separate"/>
      </w:r>
      <w:r>
        <w:t>Control de cambios</w:t>
      </w:r>
      <w:r>
        <w:tab/>
      </w:r>
      <w:r>
        <w:t>3</w:t>
      </w:r>
    </w:p>
    <w:p>
      <w:pPr>
        <w:pStyle w:val="toc1"/>
      </w:pPr>
      <w:r>
        <w:t>Resumen y propósito</w:t>
      </w:r>
      <w:r>
        <w:tab/>
      </w:r>
      <w:r>
        <w:t>3</w:t>
      </w:r>
    </w:p>
    <w:p>
      <w:pPr>
        <w:pStyle w:val="toc1"/>
      </w:pPr>
      <w:r>
        <w:t>Alcance</w:t>
      </w:r>
      <w:r>
        <w:tab/>
      </w:r>
      <w:r>
        <w:t>4</w:t>
      </w:r>
    </w:p>
    <w:p>
      <w:pPr>
        <w:pStyle w:val="toc2"/>
      </w:pPr>
      <w:r>
        <w:t>Qué se prueba</w:t>
      </w:r>
      <w:r>
        <w:tab/>
      </w:r>
      <w:r>
        <w:t>4</w:t>
      </w:r>
    </w:p>
    <w:p>
      <w:pPr>
        <w:pStyle w:val="toc2"/>
      </w:pPr>
      <w:r>
        <w:t>Qué no se prueba</w:t>
      </w:r>
      <w:r>
        <w:tab/>
      </w:r>
      <w:r>
        <w:t>4</w:t>
      </w:r>
    </w:p>
    <w:p>
      <w:pPr>
        <w:pStyle w:val="toc1"/>
      </w:pPr>
      <w:r>
        <w:t>Estrategia de pruebas</w:t>
      </w:r>
      <w:r>
        <w:tab/>
      </w:r>
      <w:r>
        <w:t>4</w:t>
      </w:r>
    </w:p>
    <w:p>
      <w:pPr>
        <w:pStyle w:val="toc2"/>
      </w:pPr>
      <w:r>
        <w:t>Tipos de prueba</w:t>
      </w:r>
      <w:r>
        <w:tab/>
      </w:r>
      <w:r>
        <w:t>4</w:t>
      </w:r>
    </w:p>
    <w:p>
      <w:pPr>
        <w:pStyle w:val="toc2"/>
      </w:pPr>
      <w:r>
        <w:t>Técnicas</w:t>
      </w:r>
      <w:r>
        <w:tab/>
      </w:r>
      <w:r>
        <w:t>5</w:t>
      </w:r>
    </w:p>
    <w:p>
      <w:pPr>
        <w:pStyle w:val="toc2"/>
      </w:pPr>
      <w:r>
        <w:t>Niveles</w:t>
      </w:r>
      <w:r>
        <w:tab/>
      </w:r>
      <w:r>
        <w:t>5</w:t>
      </w:r>
    </w:p>
    <w:p>
      <w:pPr>
        <w:pStyle w:val="toc2"/>
      </w:pPr>
      <w:r>
        <w:t>Orden de ejecución</w:t>
      </w:r>
      <w:r>
        <w:tab/>
      </w:r>
      <w:r>
        <w:t>5</w:t>
      </w:r>
    </w:p>
    <w:p>
      <w:pPr>
        <w:pStyle w:val="toc1"/>
      </w:pPr>
      <w:r>
        <w:t>Entorno y datos de prueba</w:t>
      </w:r>
      <w:r>
        <w:tab/>
      </w:r>
      <w:r>
        <w:t>6</w:t>
      </w:r>
    </w:p>
    <w:p>
      <w:pPr>
        <w:pStyle w:val="toc2"/>
      </w:pPr>
      <w:r>
        <w:t>Entorno</w:t>
      </w:r>
      <w:r>
        <w:tab/>
      </w:r>
      <w:r>
        <w:t>6</w:t>
      </w:r>
    </w:p>
    <w:p>
      <w:pPr>
        <w:pStyle w:val="toc2"/>
      </w:pPr>
      <w:r>
        <w:t>Datos de prueba</w:t>
      </w:r>
      <w:r>
        <w:tab/>
      </w:r>
      <w:r>
        <w:t>6</w:t>
      </w:r>
    </w:p>
    <w:p>
      <w:pPr>
        <w:pStyle w:val="toc1"/>
      </w:pPr>
      <w:r>
        <w:t>Roles y responsabilidades</w:t>
      </w:r>
      <w:r>
        <w:tab/>
      </w:r>
      <w:r>
        <w:t>6</w:t>
      </w:r>
    </w:p>
    <w:p>
      <w:pPr>
        <w:pStyle w:val="toc1"/>
      </w:pPr>
      <w:r>
        <w:t>Proceso de pruebas</w:t>
      </w:r>
      <w:r>
        <w:tab/>
      </w:r>
      <w:r>
        <w:t>7</w:t>
      </w:r>
    </w:p>
    <w:p>
      <w:pPr>
        <w:pStyle w:val="toc2"/>
      </w:pPr>
      <w:r>
        <w:t>Ciclos</w:t>
      </w:r>
      <w:r>
        <w:tab/>
      </w:r>
      <w:r>
        <w:t>7</w:t>
      </w:r>
    </w:p>
    <w:p>
      <w:pPr>
        <w:pStyle w:val="toc2"/>
      </w:pPr>
      <w:r>
        <w:t>Criterios de entrada de un ciclo</w:t>
      </w:r>
      <w:r>
        <w:tab/>
      </w:r>
      <w:r>
        <w:t>7</w:t>
      </w:r>
    </w:p>
    <w:p>
      <w:pPr>
        <w:pStyle w:val="toc2"/>
      </w:pPr>
      <w:r>
        <w:t>Criterios de salida</w:t>
      </w:r>
      <w:r>
        <w:tab/>
      </w:r>
      <w:r>
        <w:t>7</w:t>
      </w:r>
    </w:p>
    <w:p>
      <w:pPr>
        <w:pStyle w:val="toc2"/>
      </w:pPr>
      <w:r>
        <w:t>Suspensión y reanudación</w:t>
      </w:r>
      <w:r>
        <w:tab/>
      </w:r>
      <w:r>
        <w:t>7</w:t>
      </w:r>
    </w:p>
    <w:p>
      <w:pPr>
        <w:pStyle w:val="toc2"/>
      </w:pPr>
      <w:r>
        <w:t>Defectos</w:t>
      </w:r>
      <w:r>
        <w:tab/>
      </w:r>
      <w:r>
        <w:t>7</w:t>
      </w:r>
    </w:p>
    <w:p>
      <w:pPr>
        <w:pStyle w:val="toc2"/>
      </w:pPr>
      <w:r>
        <w:t>Evidencia y reportes</w:t>
      </w:r>
      <w:r>
        <w:tab/>
      </w:r>
      <w:r>
        <w:t>8</w:t>
      </w:r>
    </w:p>
    <w:p>
      <w:pPr>
        <w:pStyle w:val="toc1"/>
      </w:pPr>
      <w:r>
        <w:t>Pruebas por tipo</w:t>
      </w:r>
      <w:r>
        <w:tab/>
      </w:r>
      <w:r>
        <w:t>8</w:t>
      </w:r>
    </w:p>
    <w:p>
      <w:pPr>
        <w:pStyle w:val="toc2"/>
      </w:pPr>
      <w:r>
        <w:t>Seguridad</w:t>
      </w:r>
      <w:r>
        <w:tab/>
      </w:r>
      <w:r>
        <w:t>8</w:t>
      </w:r>
    </w:p>
    <w:p>
      <w:pPr>
        <w:pStyle w:val="toc2"/>
      </w:pPr>
      <w:r>
        <w:t>Rendimiento, carga y recuperación</w:t>
      </w:r>
      <w:r>
        <w:tab/>
      </w:r>
      <w:r>
        <w:t>9</w:t>
      </w:r>
    </w:p>
    <w:p>
      <w:pPr>
        <w:pStyle w:val="toc2"/>
      </w:pPr>
      <w:r>
        <w:t>Integridad de datos</w:t>
      </w:r>
      <w:r>
        <w:tab/>
      </w:r>
      <w:r>
        <w:t>9</w:t>
      </w:r>
    </w:p>
    <w:p>
      <w:pPr>
        <w:pStyle w:val="toc2"/>
      </w:pPr>
      <w:r>
        <w:t>Usabilidad y estándar</w:t>
      </w:r>
      <w:r>
        <w:tab/>
      </w:r>
      <w:r>
        <w:t>9</w:t>
      </w:r>
    </w:p>
    <w:p>
      <w:pPr>
        <w:pStyle w:val="toc1"/>
      </w:pPr>
      <w:r>
        <w:t>Calendario</w:t>
      </w:r>
      <w:r>
        <w:tab/>
      </w:r>
      <w:r>
        <w:t>9</w:t>
      </w:r>
    </w:p>
    <w:p>
      <w:pPr>
        <w:pStyle w:val="toc1"/>
      </w:pPr>
      <w:r>
        <w:t>Riesgos de las pruebas</w:t>
      </w:r>
      <w:r>
        <w:tab/>
      </w:r>
      <w:r>
        <w:t>10</w:t>
      </w:r>
    </w:p>
    <w:p>
      <w:pPr>
        <w:pStyle w:val="toc1"/>
      </w:pPr>
      <w:r>
        <w:t>Artefactos</w:t>
      </w:r>
      <w:r>
        <w:tab/>
      </w:r>
      <w:r>
        <w:t>11</w:t>
      </w:r>
    </w:p>
    <w:p>
      <w:pPr>
        <w:pStyle w:val="toc1"/>
      </w:pPr>
      <w:r>
        <w:t>Trazabilidad</w:t>
      </w:r>
      <w:r>
        <w:tab/>
      </w:r>
      <w:r>
        <w:t>11</w:t>
      </w:r>
    </w:p>
    <w:p>
      <w:pPr>
        <w:pStyle w:val="toc1"/>
      </w:pPr>
      <w:r>
        <w:t>Supuestos y pendientes</w:t>
      </w:r>
      <w:r>
        <w:tab/>
      </w:r>
      <w:r>
        <w:t>11</w:t>
      </w:r>
    </w:p>
    <w:p>
      <w:pPr>
        <w:pStyle w:val="toc1"/>
      </w:pPr>
      <w:r>
        <w:t>Glosario y referencias</w:t>
      </w:r>
      <w:r>
        <w:tab/>
      </w:r>
      <w:r>
        <w:t>12</w:t>
      </w:r>
    </w:p>
    <w:p>
      <w:pPr>
        <w:pStyle w:val="toc2"/>
      </w:pPr>
      <w:r>
        <w:t>Referencias</w:t>
      </w:r>
      <w:r>
        <w:tab/>
      </w:r>
      <w:r>
        <w:t>12</w:t>
      </w:r>
      <w:r>
        <w:fldChar w:fldCharType="end"/>
      </w:r>
    </w:p>
    <w:bookmarkStart w:id="20" w:name="control-de-cambios"/>
    <w:p>
      <w:pPr>
        <w:pStyle w:val="Heading2"/>
        <w:pageBreakBefore/>
      </w:pPr>
      <w:r>
        <w:t xml:space="preserve">Control de cambios</w:t>
      </w:r>
    </w:p>
    <w:p>
      <w:pPr>
        <w:pStyle w:val="FirstParagraph"/>
      </w:pPr>
      <w:r>
        <w:t>Versión vigente 1.0 del documento SICMA-PLP. Reemplaza al borrador anterior; el detalle de cada versión está en la tabla de versiones.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Campo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ID del documento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SICMA-PLP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Vigente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2026-10-17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Basado 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SICMA-REQ v1.0, SICMA-CUS v1.0, SICMA-CLA v1.0, SICMA-ACT v1.0, SICMA-BDD v1.0, SICMA-MCK v1.0 y la guía del estudiante de la Fase 1 (plan de trabajo y carta Gantt)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Versión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Fecha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Autor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Cambio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Borrador inicial del plan de pruebas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Las pruebas siguen el plan de trabajo de la Fase 1: continuas e incrementales de la semana 6 a la 16. Calendario por semanas de la carta Gantt. Claudio Varas es el responsable de las pruebas y en la práctica las ejecutan los tres. Los defectos van a GitHub Issues. Se cierra D-44.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Corrige el calendario: la semana en curso es la S9 (la S1 empieza el 10 de agosto). Las pruebas pasan a tres ciclos alineados con las fechas de desarrollo de la base de tareas. Reemplaza el supuesto de D-48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2026-10-17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Fidel Rodríguez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Pasa de borrador a vigente. Se agrega la portada y se actualizan las referencias a las versiones vigentes de los demás documentos. Se agrega la tabla de contenido, la numeración de páginas y se completa la lista de referencias.</w:t>
            </w:r>
          </w:p>
        </w:tc>
      </w:tr>
    </w:tbl>
    <w:bookmarkEnd w:id="20"/>
    <w:bookmarkStart w:id="21" w:name="resumen-y-propósito"/>
    <w:p>
      <w:pPr>
        <w:pStyle w:val="Heading2"/>
      </w:pPr>
      <w:r>
        <w:t xml:space="preserve">Resumen y propósito</w:t>
      </w:r>
    </w:p>
    <w:p>
      <w:pPr>
        <w:pStyle w:val="FirstParagraph"/>
      </w:pPr>
      <w:r>
        <w:t xml:space="preserve">Este plan define cómo se comprobará que SICMA cumple sus 36 requerimientos funcionales y 20 no funcionales: qué se prueba, con qué tipos de prueba, en qué orden, en qué entorno, quién lo hace y cuándo se da por terminado. Es la base de los casos de prueba (SICMA-CPR) y de los informes de resultados, de defectos y de evidencia.</w:t>
      </w:r>
    </w:p>
    <w:p>
      <w:pPr>
        <w:pStyle w:val="BodyText"/>
      </w:pPr>
      <w:r>
        <w:t xml:space="preserve">El problema que resuelve SICMA es real y es del departamento de TI de Carozzi, pero las pruebas del proyecto se hacen con un entorno y datos simulados. No se prueba en producción.</w:t>
      </w:r>
    </w:p>
    <w:p>
      <w:pPr>
        <w:pStyle w:val="BodyText"/>
      </w:pPr>
      <w:r>
        <w:t xml:space="preserve">Se cubren cinco tipos de prueba: funcionales, de seguridad, de rendimiento y carga, de integridad de datos y de usabilidad con casos estándar.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Dato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Requerimientos cubiertos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36 RF y 20 RNF (37 de 56 son Must)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Tipos de prueba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Funcional, seguridad, rendimiento y carga, integridad de datos, usabilidad y estándar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Documento de casos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SICMA-CPR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Criterio de aceptación global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CA-01 a CA-07 de SICMA-REQ</w:t>
            </w:r>
          </w:p>
        </w:tc>
      </w:tr>
    </w:tbl>
    <w:bookmarkEnd w:id="21"/>
    <w:bookmarkStart w:id="24" w:name="alcance"/>
    <w:p>
      <w:pPr>
        <w:pStyle w:val="Heading2"/>
      </w:pPr>
      <w:r>
        <w:t xml:space="preserve">Alcance</w:t>
      </w:r>
    </w:p>
    <w:bookmarkStart w:id="22" w:name="qué-se-prueba"/>
    <w:p>
      <w:pPr>
        <w:pStyle w:val="Heading3"/>
      </w:pPr>
      <w:r>
        <w:t xml:space="preserve">Qué se prueba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Módulo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Requerimientos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Casos de 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Identidad y acceso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RF-ID-01 a RF-ID-06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CU-01 a CU-03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RF-ACT-01 a RF-ACT-04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CU-04 y CU-05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Catálogos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RF-CAT-01 a RF-CAT-05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CU-06 a CU-09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Monitoreo ambiental y alertas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RF-AMB-01 a RF-AMB-05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CU-10 a CU-13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Infraestructura (Zabbix)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RF-INF-01 a RF-INF-03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CU-14 y CU-15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Control de acceso físico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RF-ACC-01 a RF-ACC-03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CU-15 a CU-18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RF-INT-01 a RF-INT-06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CU-19 a CU-23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Inteligencia de negocio (Power BI)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RF-BI-01, RF-BI-02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Plataforma web y móvil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RF-PLT-01, RF-PLT-02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Requerimientos no funcionales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RNF-SEG, RNF-DIS, RNF-USO, RNF-DES, RNF-CAL, RNF-LEG, RNF-MNT, RNF-REN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Transversal</w:t>
            </w:r>
          </w:p>
        </w:tc>
      </w:tr>
    </w:tbl>
    <w:p>
      <w:pPr>
        <w:pStyle w:val="BodyText"/>
      </w:pPr>
      <w:r>
        <w:t xml:space="preserve">La correspondencia exacta entre cada requerimiento y su caso de uso se mantiene en SICMA-CUS. Si difiere de esta tabla, vale SICMA-CUS.</w:t>
      </w:r>
    </w:p>
    <w:bookmarkEnd w:id="22"/>
    <w:bookmarkStart w:id="23" w:name="qué-no-se-prueba"/>
    <w:p>
      <w:pPr>
        <w:pStyle w:val="Heading3"/>
      </w:pPr>
      <w:r>
        <w:t xml:space="preserve">Qué no se prueba</w:t>
      </w:r>
    </w:p>
    <w:p>
      <w:pPr>
        <w:numPr>
          <w:ilvl w:val="0"/>
          <w:numId w:val="1001"/>
        </w:numPr>
        <w:pStyle w:val="Compact"/>
      </w:pPr>
      <w:r>
        <w:t xml:space="preserve">El despliegue productivo en un datacenter real y la disponibilidad de nivel empresarial (fuera del alcance de SICMA-REQ).</w:t>
      </w:r>
    </w:p>
    <w:p>
      <w:pPr>
        <w:numPr>
          <w:ilvl w:val="0"/>
          <w:numId w:val="1001"/>
        </w:numPr>
        <w:pStyle w:val="Compact"/>
      </w:pPr>
      <w:r>
        <w:t xml:space="preserve">La comparación o el almacenamiento de huellas: SICMA no las guarda, y el lector HID se prueba solo en lo que entrega a SICMA.</w:t>
      </w:r>
    </w:p>
    <w:p>
      <w:pPr>
        <w:numPr>
          <w:ilvl w:val="0"/>
          <w:numId w:val="1001"/>
        </w:numPr>
        <w:pStyle w:val="Compact"/>
      </w:pPr>
      <w:r>
        <w:t xml:space="preserve">El funcionamiento interno de los productos externos: Zabbix, Microsoft Forms, Teams, Power Automate, Power BI y el servidor SMTP. Se prueba la integración con SICMA, no el producto.</w:t>
      </w:r>
    </w:p>
    <w:p>
      <w:pPr>
        <w:numPr>
          <w:ilvl w:val="0"/>
          <w:numId w:val="1001"/>
        </w:numPr>
        <w:pStyle w:val="Compact"/>
      </w:pPr>
      <w:r>
        <w:t xml:space="preserve">Las acciones sobre equipos físicos (cerraduras, climatización, UPS), que SICMA no ejecuta.</w:t>
      </w:r>
    </w:p>
    <w:bookmarkEnd w:id="23"/>
    <w:bookmarkEnd w:id="24"/>
    <w:bookmarkStart w:id="29" w:name="estrategia-de-pruebas"/>
    <w:p>
      <w:pPr>
        <w:pStyle w:val="Heading2"/>
      </w:pPr>
      <w:r>
        <w:t xml:space="preserve">Estrategia de pruebas</w:t>
      </w:r>
    </w:p>
    <w:bookmarkStart w:id="25" w:name="tipos-de-prueba"/>
    <w:p>
      <w:pPr>
        <w:pStyle w:val="Heading3"/>
      </w:pPr>
      <w:r>
        <w:t xml:space="preserve">Tipos de prueba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Tipo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Qué comprueba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Requerimientos principales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Funcional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Que cada función haga lo que dice el requerimiento, con datos válidos e inválidos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Todos los RF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Integración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Que SICMA converse bien con Zabbix, Forms, Teams, Power Automate, Outlook, SMTP, Power BI y el lector HID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RF-INF, RF-INT, RF-ACC, RF-BI, RF-AMB-05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Control por rol, bloqueo por intentos, política de contraseñas, JWT, TLS, hash, inyección SQL y OWASP Top 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RF-ID, RNF-SEG, RNF-CAL-02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Rendimiento y carga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Tiempos de respuesta, ingesta de lecturas y recuperación del clúster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RNF-DIS-02, RNF-REN-01 y los valores de referencia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Integridad de 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Que se cumplan las reglas de integridad (RI) y de negocio (RN), en especial las que valida el 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RI-01 a RI-19, RN-01 a RN-10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Usabilidad y estándar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Interfaz, validación de datos de entrada, informes y accesibilidad (WCAG 2.2 y escala SUS)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RNF-USO-01, RNF-USO-02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Compatibilidad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Dos últimas versiones estables de Chrome y Edge, y Android 10 o superior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Valores de referencia de SICMA-REQ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Estática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Revisión de la documentación, inspección de código con SonarQube y revisión de la documentación OpenAPI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RNF-CAL-01, RNF-MNT-01</w:t>
            </w:r>
          </w:p>
        </w:tc>
      </w:tr>
    </w:tbl>
    <w:bookmarkEnd w:id="25"/>
    <w:bookmarkStart w:id="26" w:name="técnicas"/>
    <w:p>
      <w:pPr>
        <w:pStyle w:val="Heading3"/>
      </w:pPr>
      <w:r>
        <w:t xml:space="preserve">Técnicas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Caja negra</w:t>
      </w:r>
      <w:r>
        <w:t xml:space="preserve"> </w:t>
      </w:r>
      <w:r>
        <w:t xml:space="preserve">para las pruebas funcionales, de usabilidad y de aceptación: se evalúa lo que ve el usuario, sin mirar el código.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Caja gris</w:t>
      </w:r>
      <w:r>
        <w:t xml:space="preserve"> </w:t>
      </w:r>
      <w:r>
        <w:t xml:space="preserve">para integridad de datos y seguridad: se ejecuta por la interfaz o la API y se verifica el resultado consultando la base de datos.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Caja blanca</w:t>
      </w:r>
      <w:r>
        <w:t xml:space="preserve"> </w:t>
      </w:r>
      <w:r>
        <w:t xml:space="preserve">solo para la inspección de código con SonarQube.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Valores límite y particiones de equivalencia</w:t>
      </w:r>
      <w:r>
        <w:t xml:space="preserve"> </w:t>
      </w:r>
      <w:r>
        <w:t xml:space="preserve">en campos con rangos (umbrales, contraseñas, intentos fallidos, fechas).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Casos estándar de calidad</w:t>
      </w:r>
      <w:r>
        <w:t xml:space="preserve"> </w:t>
      </w:r>
      <w:r>
        <w:t xml:space="preserve">(interfaz, validación de datos, funcionales, informes) tomados de una planilla de casos estándar que se adapta a SICMA.</w:t>
      </w:r>
    </w:p>
    <w:bookmarkEnd w:id="26"/>
    <w:bookmarkStart w:id="27" w:name="niveles"/>
    <w:p>
      <w:pPr>
        <w:pStyle w:val="Heading3"/>
      </w:pPr>
      <w:r>
        <w:t xml:space="preserve">Niveles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Unitarias del backend</w:t>
      </w:r>
      <w:r>
        <w:t xml:space="preserve">, a cargo de quien desarrolla; sus resultados se anexan si existen.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Integración</w:t>
      </w:r>
      <w:r>
        <w:t xml:space="preserve">: la API con la base MySQL y con cada sistema externo.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Sistema</w:t>
      </w:r>
      <w:r>
        <w:t xml:space="preserve">: recorrido completo por la aplicación web y la app móvil.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Aceptación</w:t>
      </w:r>
      <w:r>
        <w:t xml:space="preserve">: demostración de extremo a extremo con los criterios CA-01 a CA-07 (CA-02 recorre un activo desde su registro hasta su consulta móvil).</w:t>
      </w:r>
    </w:p>
    <w:bookmarkEnd w:id="27"/>
    <w:bookmarkStart w:id="28" w:name="orden-de-ejecución"/>
    <w:p>
      <w:pPr>
        <w:pStyle w:val="Heading3"/>
      </w:pPr>
      <w:r>
        <w:t xml:space="preserve">Orden de ejecución</w:t>
      </w:r>
    </w:p>
    <w:p>
      <w:pPr>
        <w:pStyle w:val="FirstParagraph"/>
      </w:pPr>
      <w:r>
        <w:t xml:space="preserve">El orden sigue las dependencias entre módulos.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Etapa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Módulo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Por qué en este orden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Identidad y acceso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Sin sesión y sin rol no se puede probar nada más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Catálogos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Zonas, ubicaciones y dispositivos son datos base de los activos y de las lecturas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Dependen de los catálogos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Monitoreo ambiental y alertas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Necesita zonas, dispositivos, umbrales y responsables de alerta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Infraestructura (Zabbix)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Independiente, pero requiere activos de tipo servidor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Control de acceso físico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Requiere usuarios y puntos de acceso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Requiere activos, usuarios con rol Jefatura y Administrador, y los flujos de Forms, Teams y Outlook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Inteligencia de negocio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Necesita datos de las etapas anteriores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Plataforma web y móvil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 repite lo esencial en web y en móvil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Seguridad, rendimiento, recuperación del clúster y usabilidad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 miden con el sistema ya funcionando</w:t>
            </w:r>
          </w:p>
        </w:tc>
      </w:tr>
    </w:tbl>
    <w:bookmarkEnd w:id="28"/>
    <w:bookmarkEnd w:id="29"/>
    <w:bookmarkStart w:id="32" w:name="entorno-y-datos-de-prueba"/>
    <w:p>
      <w:pPr>
        <w:pStyle w:val="Heading2"/>
      </w:pPr>
      <w:r>
        <w:t xml:space="preserve">Entorno y datos de prueba</w:t>
      </w:r>
    </w:p>
    <w:bookmarkStart w:id="30" w:name="entorno"/>
    <w:p>
      <w:pPr>
        <w:pStyle w:val="Heading3"/>
      </w:pPr>
      <w:r>
        <w:t xml:space="preserve">Entorno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Componente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Django en un servidor de pruebas on-premise, separado del que usa el equipo para desarrollar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Base de 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Clúster MySQL InnoDB de 3 nodos con un primary, como en el diseño. Para la prueba de recuperación se necesita poder bajar el nodo primary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Frontend web y móvil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Angular (web) e Ionic (móvil). Navegadores: Chrome y Edge, últimas dos versiones estables. Móvil: Android 10 o superior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Dispositivos IoT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 ESP32-S3 con DHT22 real, y un simulador que envía lecturas con la marca de simulación (RN-06)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Integraciones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Zabbix de prueba con un servidor que se puede apagar, Microsoft Forms, Teams y Power Automate de una cuenta de prueba, calendario de Outlook de prueba, servidor SMTP de prueba y Power BI con cuenta de solo lectura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Lector HID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lector del equipo con un PC conectado, o un simulador que envía el mismo mensaje a la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Herramientas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Cliente de API (Postman o similar), cliente de base de datos, herramienta de carga (JMeter, k6 o Locust), OWASP ZAP, sqlmap, SonarQube y GitHub Actions. Las herramientas exactas se confirman en D-45</w:t>
            </w:r>
          </w:p>
        </w:tc>
      </w:tr>
    </w:tbl>
    <w:bookmarkEnd w:id="30"/>
    <w:bookmarkStart w:id="31" w:name="datos-de-prueba"/>
    <w:p>
      <w:pPr>
        <w:pStyle w:val="Heading3"/>
      </w:pPr>
      <w:r>
        <w:t xml:space="preserve">Datos de prueba</w:t>
      </w:r>
    </w:p>
    <w:p>
      <w:pPr>
        <w:numPr>
          <w:ilvl w:val="0"/>
          <w:numId w:val="1004"/>
        </w:numPr>
        <w:pStyle w:val="Compact"/>
      </w:pPr>
      <w:r>
        <w:t xml:space="preserve">Datos ficticios para zonas, activos, personas y huellas. No se usan datos personales reales.</w:t>
      </w:r>
    </w:p>
    <w:p>
      <w:pPr>
        <w:numPr>
          <w:ilvl w:val="0"/>
          <w:numId w:val="1004"/>
        </w:numPr>
        <w:pStyle w:val="Compact"/>
      </w:pPr>
      <w:r>
        <w:t xml:space="preserve">Cuentas de prueba, una por rol: Administrador, Jefatura, Técnico y Auditor, más una cuenta desactivada y una bloqueada.</w:t>
      </w:r>
    </w:p>
    <w:p>
      <w:pPr>
        <w:numPr>
          <w:ilvl w:val="0"/>
          <w:numId w:val="1004"/>
        </w:numPr>
        <w:pStyle w:val="Compact"/>
      </w:pPr>
      <w:r>
        <w:t xml:space="preserve">Lecturas simuladas con marca visible y persistente (RN-06), que no se mezclan con las reales. La base actual ya tiene más de 1.100 lecturas reales; los casos de prueba no las alteran.</w:t>
      </w:r>
    </w:p>
    <w:p>
      <w:pPr>
        <w:numPr>
          <w:ilvl w:val="0"/>
          <w:numId w:val="1004"/>
        </w:numPr>
        <w:pStyle w:val="Compact"/>
      </w:pPr>
      <w:r>
        <w:t xml:space="preserve">Volumen para carga: lecturas cada 2 segundos, hasta 43.200 por dispositivo al día.</w:t>
      </w:r>
    </w:p>
    <w:p>
      <w:pPr>
        <w:numPr>
          <w:ilvl w:val="0"/>
          <w:numId w:val="1004"/>
        </w:numPr>
        <w:pStyle w:val="Compact"/>
      </w:pPr>
      <w:r>
        <w:t xml:space="preserve">Las pruebas de seguridad se hacen solo contra el entorno de pruebas.</w:t>
      </w:r>
    </w:p>
    <w:bookmarkEnd w:id="31"/>
    <w:bookmarkEnd w:id="32"/>
    <w:bookmarkStart w:id="33" w:name="roles-y-responsabilidades"/>
    <w:p>
      <w:pPr>
        <w:pStyle w:val="Heading2"/>
      </w:pPr>
      <w:r>
        <w:t xml:space="preserve">Roles y responsabilidades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Rol de pruebas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Responsabilidad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Persona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Jefe de pruebas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Planifica, coordina y decide el cierre de cada ciclo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Claudio Varas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Analista de pruebas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Diseña los casos desde los requerimientos y mantiene la trazabilidad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Los tres integrantes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Tester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Ejecuta los casos y registra resultados y evidencias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Claudio Varas, con apoyo de los tres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Aseguramiento de calidad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Revisa que el proceso siga este plan y revisa los informes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Los tres integrantes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Administrador de defectos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Registra, prioriza y hace seguimiento de los defectos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Claudio Varas, con GitHub 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 de aceptación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Valida el resultado frente a los requerimientos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Docente y cliente, por confirmar</w:t>
            </w:r>
          </w:p>
        </w:tc>
      </w:tr>
    </w:tbl>
    <w:p>
      <w:pPr>
        <w:pStyle w:val="BodyText"/>
      </w:pPr>
      <w:r>
        <w:t xml:space="preserve">Según el plan de trabajo de la Fase 1, Claudio Varas es el responsable de las pruebas y de coordinar su corrección. En la práctica las ejecutan los tres integrantes, así que una misma persona puede tener más de un rol de pruebas. El docente es Luis Bravo.</w:t>
      </w:r>
    </w:p>
    <w:bookmarkEnd w:id="33"/>
    <w:bookmarkStart w:id="40" w:name="proceso-de-pruebas"/>
    <w:p>
      <w:pPr>
        <w:pStyle w:val="Heading2"/>
      </w:pPr>
      <w:r>
        <w:t xml:space="preserve">Proceso de pruebas</w:t>
      </w:r>
    </w:p>
    <w:bookmarkStart w:id="34" w:name="ciclos"/>
    <w:p>
      <w:pPr>
        <w:pStyle w:val="Heading3"/>
      </w:pPr>
      <w:r>
        <w:t xml:space="preserve">Ciclos</w:t>
      </w:r>
    </w:p>
    <w:p>
      <w:pPr>
        <w:pStyle w:val="FirstParagraph"/>
      </w:pPr>
      <w:r>
        <w:t xml:space="preserve">Siguiendo el plan de trabajo de la Fase 1, las pruebas son continuas e incrementales: se hacen sobre cada incremento que el desarrollo entrega, de la semana 6 a la 16, y no se dejan para el final. Cada ciclo ejecuta los casos de los módulos entregados hasta ese momento, registra los resultados y devuelve los defectos al desarrollo. Al corregirse un defecto se repite el caso que falló y los casos relacionados (regresión). El ciclo termina cuando se cumplen los criterios de salida.</w:t>
      </w:r>
    </w:p>
    <w:bookmarkEnd w:id="34"/>
    <w:bookmarkStart w:id="35" w:name="criterios-de-entrada-de-un-ciclo"/>
    <w:p>
      <w:pPr>
        <w:pStyle w:val="Heading3"/>
      </w:pPr>
      <w:r>
        <w:t xml:space="preserve">Criterios de entrada de un ciclo</w:t>
      </w:r>
    </w:p>
    <w:p>
      <w:pPr>
        <w:numPr>
          <w:ilvl w:val="0"/>
          <w:numId w:val="1005"/>
        </w:numPr>
        <w:pStyle w:val="Compact"/>
      </w:pPr>
      <w:r>
        <w:t xml:space="preserve">Los documentos SICMA-REQ, SICMA-CUS y SICMA-CPR están en una versión estable y acordada.</w:t>
      </w:r>
    </w:p>
    <w:p>
      <w:pPr>
        <w:numPr>
          <w:ilvl w:val="0"/>
          <w:numId w:val="1005"/>
        </w:numPr>
        <w:pStyle w:val="Compact"/>
      </w:pPr>
      <w:r>
        <w:t xml:space="preserve">El entorno de pruebas funciona y tiene los datos y cuentas de prueba.</w:t>
      </w:r>
    </w:p>
    <w:p>
      <w:pPr>
        <w:numPr>
          <w:ilvl w:val="0"/>
          <w:numId w:val="1005"/>
        </w:numPr>
        <w:pStyle w:val="Compact"/>
      </w:pPr>
      <w:r>
        <w:t xml:space="preserve">La versión del software a probar está identificada (rama y commit) y pasó la integración continua.</w:t>
      </w:r>
    </w:p>
    <w:p>
      <w:pPr>
        <w:numPr>
          <w:ilvl w:val="0"/>
          <w:numId w:val="1005"/>
        </w:numPr>
        <w:pStyle w:val="Compact"/>
      </w:pPr>
      <w:r>
        <w:t xml:space="preserve">No hay defectos críticos abiertos del ciclo anterior.</w:t>
      </w:r>
    </w:p>
    <w:bookmarkEnd w:id="35"/>
    <w:bookmarkStart w:id="36" w:name="criterios-de-salida"/>
    <w:p>
      <w:pPr>
        <w:pStyle w:val="Heading3"/>
      </w:pPr>
      <w:r>
        <w:t xml:space="preserve">Criterios de salida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Criterio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CS-01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Todos los requerimientos Must tienen caso de prueba, resultado y evidencia (es CA-01)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CS-02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 quedan defectos críticos ni altos abiertos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CS-03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 menos el 90 % de los casos de requerimientos Should se ejecutó, y los fallidos tienen defecto registrado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CS-04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 cumplen los criterios de rendimiento y de recuperación del clúster (ver Rendimiento, carga y recuperación)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CS-05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 cumplen los criterios CA-02 a CA-07 de SICMA-REQ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CS-06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Los informes de resultados, defectos y evidencia están entregados</w:t>
            </w:r>
          </w:p>
        </w:tc>
      </w:tr>
    </w:tbl>
    <w:p>
      <w:pPr>
        <w:pStyle w:val="BodyText"/>
      </w:pPr>
      <w:r>
        <w:t xml:space="preserve">Estos criterios son una propuesta y quedan por validar (D-46).</w:t>
      </w:r>
    </w:p>
    <w:bookmarkEnd w:id="36"/>
    <w:bookmarkStart w:id="37" w:name="suspensión-y-reanudación"/>
    <w:p>
      <w:pPr>
        <w:pStyle w:val="Heading3"/>
      </w:pPr>
      <w:r>
        <w:t xml:space="preserve">Suspensión y reanudación</w:t>
      </w:r>
    </w:p>
    <w:p>
      <w:pPr>
        <w:pStyle w:val="FirstParagraph"/>
      </w:pPr>
      <w:r>
        <w:t xml:space="preserve">Se suspende el ciclo si falla el inicio de sesión para todos los roles, si el entorno no responde o si hay un defecto crítico que bloquea más del 30 % de los casos. Se reanuda cuando se corrige la causa y se repite el caso que la detectó.</w:t>
      </w:r>
    </w:p>
    <w:bookmarkEnd w:id="37"/>
    <w:bookmarkStart w:id="38" w:name="defectos"/>
    <w:p>
      <w:pPr>
        <w:pStyle w:val="Heading3"/>
      </w:pPr>
      <w:r>
        <w:t xml:space="preserve">Defectos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Severidad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Significado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Ejemplo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Impide usar una función Must o expone datos o seguridad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 Técnico puede cambiar roles; se guarda un umbral con mínimo mayor que el máximo y la alerta deja de funcionar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Una función importante falla y no hay alternativa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alerta se genera pero no llega el correo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función falla en un caso borde o hay una alternativa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búsqueda no filtra por 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Problema de forma, texto o ortografía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 mensaje de error con una falta de ortografía</w:t>
            </w:r>
          </w:p>
        </w:tc>
      </w:tr>
    </w:tbl>
    <w:p>
      <w:pPr>
        <w:pStyle w:val="BodyText"/>
      </w:pPr>
      <w:r>
        <w:t xml:space="preserve">Cada defecto se registra como una incidencia en GitHub Issues, con los campos de la plantilla de reporte de defecto: ID del caso, fecha, ambiente, nivel de impacto, módulo, título, descripción, pasos para replicar con evidencia y resultado esperado frente al obtenido. Los estados son Nuevo, Asignado, Corregido, Verificado y Cerrado (o Rechazado). La tarea correspondiente se mueve en el tablero Kanban a la columna En revisión/pruebas mientras se corrige y se verifica.</w:t>
      </w:r>
    </w:p>
    <w:bookmarkEnd w:id="38"/>
    <w:bookmarkStart w:id="39" w:name="evidencia-y-reportes"/>
    <w:p>
      <w:pPr>
        <w:pStyle w:val="Heading3"/>
      </w:pPr>
      <w:r>
        <w:t xml:space="preserve">Evidencia y reportes</w:t>
      </w:r>
    </w:p>
    <w:p>
      <w:pPr>
        <w:pStyle w:val="FirstParagraph"/>
      </w:pPr>
      <w:r>
        <w:t xml:space="preserve">Cada caso ejecutado deja evidencia (captura, respuesta de la API o consulta a la base) con el ID del caso, la fecha y la versión probada. Se usan las plantillas de reporte de evidencia y de reporte de defecto. Los resultados se resumen por ciclo en el informe de resultados.</w:t>
      </w:r>
    </w:p>
    <w:bookmarkEnd w:id="39"/>
    <w:bookmarkEnd w:id="40"/>
    <w:bookmarkStart w:id="45" w:name="pruebas-por-tipo"/>
    <w:p>
      <w:pPr>
        <w:pStyle w:val="Heading2"/>
      </w:pPr>
      <w:r>
        <w:t xml:space="preserve">Pruebas por tipo</w:t>
      </w:r>
    </w:p>
    <w:bookmarkStart w:id="41" w:name="seguridad"/>
    <w:p>
      <w:pPr>
        <w:pStyle w:val="Heading3"/>
      </w:pPr>
      <w:r>
        <w:t xml:space="preserve">Seguridad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Ámbito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Qué se prueba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Requerimientos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Autenticación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Ingreso válido e inválido, expiración de sesión a los 15 minutos, token firmado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RF-ID-01, RNF-SEG-01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Bloqueo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Cinco intentos fallidos en 15 minutos bloquean la cuenta 15 minutos o hasta que el Administrador la desbloquee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RNF-SEG-02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Contraseñas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Complejidad (10 caracteres, mayúscula, minúscula, número y carácter especial), antigüedad, recuperación por correo con código de un solo uso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RF-ID-02, RF-ID-03, RNF-SEG-03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Autorización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Cada rol solo hace lo de la matriz de permisos, también con llamadas directas a la API (CA-04)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RF-ID-05, RF-ID-06, RNF-SEG-08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Inyección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Inyección SQL en login, búsquedas y formularios, y caracteres especiales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RNF-CAL-02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Transporte y almacenamiento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TLS en toda comunicación, contraseñas con hash, orígenes autorizados (CORS), puertos acotados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RNF-SEG-04, RNF-SEG-05, RNF-SEG-07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OWASP Top 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Revisión de las diez categorías contra la API y la web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RNF-SEG-09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Datos personales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base no guarda huellas ni plantillas, y los secretos no están en GitHub (CA-05)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RNF-LEG-01</w:t>
            </w:r>
          </w:p>
        </w:tc>
      </w:tr>
    </w:tbl>
    <w:bookmarkEnd w:id="41"/>
    <w:bookmarkStart w:id="42" w:name="rendimiento-carga-y-recuperación"/>
    <w:p>
      <w:pPr>
        <w:pStyle w:val="Heading3"/>
      </w:pPr>
      <w:r>
        <w:t xml:space="preserve">Rendimiento, carga y recuperación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Prueba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Valor de referencia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Consultas web comunes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95 % responde en 3 segundos o menos con 20 usuarios concurrentes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Ingesta de lecturas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Una lectura se guarda y se evalúa contra los umbrales en 5 segundos o menos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Carga sostenida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Lecturas cada 2 segundos desde varios dispositivos simulados; se observa que no se pierdan y que no se dupliquen (idempotencia por UUID)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Estrés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 aumenta la carga hasta encontrar el punto en que aparecen errores, y se informa cómo se recupera el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Consulta a Zabbix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 servidor caído se refleja en SICMA en el minuto siguiente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Recuperación del clúster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 cae el nodo primary, la escritura se restablece en 60 segundos o menos, sin pérdida de datos confirmados</w:t>
            </w:r>
          </w:p>
        </w:tc>
      </w:tr>
    </w:tbl>
    <w:p>
      <w:pPr>
        <w:pStyle w:val="BodyText"/>
      </w:pPr>
      <w:r>
        <w:t xml:space="preserve">Los valores de referencia son propuestas de SICMA-REQ que están por validar (D-06).</w:t>
      </w:r>
    </w:p>
    <w:bookmarkEnd w:id="42"/>
    <w:bookmarkStart w:id="43" w:name="integridad-de-datos"/>
    <w:p>
      <w:pPr>
        <w:pStyle w:val="Heading3"/>
      </w:pPr>
      <w:r>
        <w:t xml:space="preserve">Integridad de datos</w:t>
      </w:r>
    </w:p>
    <w:p>
      <w:pPr>
        <w:pStyle w:val="FirstParagraph"/>
      </w:pPr>
      <w:r>
        <w:t>Se verifican las 19 reglas de integridad (RI-01 a RI-19) y las 10 reglas de negocio (RN-01 a RN-10). Según SICMA-BDD v1.0, la base cumple 7 reglas por sí sola y el backend hace cumplir 8, entre ellas RI-09. Esas 8 no las asegura la estructura de las tablas, así que sus casos son obligatorios.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Regla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Qué se prueba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Guardar un umbral con mínimo mayor o igual que el máximo se rechaza. Crear un segundo umbral vigente para la misma ubicación y variable se rechaza o reemplaza al anterior. Ambos controles los hace el backend, sin CHECK ni único en la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RI-01, RI-03, RI-04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Correo único, bloqueo por intentos y código de recuperación de un solo uso, todo en el 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RI-07, RI-10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Cada cambio deja historial y una lectura fuera de umbral genera alerta y correo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RI-12, RN-09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Los registros de solo inserción no se editan ni se eliminan, ni siquiera por el Administrador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Una intervención se crea con al menos un 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RI-11, RI-16, RI-17, RI-18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Reglas por construir en la base: se prueban cuando la parte esté implementada (D-47)</w:t>
            </w:r>
          </w:p>
        </w:tc>
      </w:tr>
    </w:tbl>
    <w:bookmarkEnd w:id="43"/>
    <w:bookmarkStart w:id="44" w:name="usabilidad-y-estándar"/>
    <w:p>
      <w:pPr>
        <w:pStyle w:val="Heading3"/>
      </w:pPr>
      <w:r>
        <w:t xml:space="preserve">Usabilidad y estándar</w:t>
      </w:r>
    </w:p>
    <w:p>
      <w:pPr>
        <w:numPr>
          <w:ilvl w:val="0"/>
          <w:numId w:val="1006"/>
        </w:numPr>
        <w:pStyle w:val="Compact"/>
      </w:pPr>
      <w:r>
        <w:t xml:space="preserve">Casos estándar de interfaz gráfica, validación de datos de entrada, funcionales, informes y observaciones, adaptados de una planilla de casos estándar. Se marcan OK, NC (no cumple) o NA (no aplica), y los que no corresponden a SICMA, como impresiones, quedan como NA con su justificación.</w:t>
      </w:r>
    </w:p>
    <w:p>
      <w:pPr>
        <w:numPr>
          <w:ilvl w:val="0"/>
          <w:numId w:val="1006"/>
        </w:numPr>
        <w:pStyle w:val="Compact"/>
      </w:pPr>
      <w:r>
        <w:t xml:space="preserve">Evaluación con la escala SUS a usuarios de TI (RNF-USO-01).</w:t>
      </w:r>
    </w:p>
    <w:p>
      <w:pPr>
        <w:numPr>
          <w:ilvl w:val="0"/>
          <w:numId w:val="1006"/>
        </w:numPr>
        <w:pStyle w:val="Compact"/>
      </w:pPr>
      <w:r>
        <w:t xml:space="preserve">Revisión de accesibilidad contra WCAG 2.2 AA (RNF-USO-02, nivel por validar en D-12).</w:t>
      </w:r>
    </w:p>
    <w:p>
      <w:pPr>
        <w:numPr>
          <w:ilvl w:val="0"/>
          <w:numId w:val="1006"/>
        </w:numPr>
        <w:pStyle w:val="Compact"/>
      </w:pPr>
      <w:r>
        <w:t xml:space="preserve">Revisión de los mockups de SICMA-MCK frente a lo construido.</w:t>
      </w:r>
    </w:p>
    <w:bookmarkEnd w:id="44"/>
    <w:bookmarkEnd w:id="45"/>
    <w:bookmarkStart w:id="46" w:name="calendario"/>
    <w:p>
      <w:pPr>
        <w:pStyle w:val="Heading2"/>
      </w:pPr>
      <w:r>
        <w:t xml:space="preserve">Calendario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Semanas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Fechas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Pruebas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 al 11 de octubre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Plan de pruebas (SICMA-PLP), diseño de los casos (SICMA-CPR), entorno y datos de prueba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S10 y S11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12 al 25 de octubre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Ciclo 1: casos funcionales y de integridad de identidad y acceso, catálogos, activos y monitoreo ambiental, que son los primeros módulos entregados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S12 y S13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26 de octubre al 8 de noviembre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Ciclo 2: infraestructura, control de acceso, intervenciones y sus integraciones (IoT, Zabbix, lector HID, Forms y Teams). Termina el desarrollo web y el endurecimiento de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S14 y S15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9 al 22 de noviembre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Ciclo 3: inteligencia de negocio y app móvil, pruebas de seguridad (inyección SQL y SonarQube), rendimiento y carga. Fin de la Fase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23 al 29 de noviembre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Prueba de recuperación del clúster, regresión final, informes de resultados, de seguridad y de rendimiento. Es la última semana de pruebas de la carta Gantt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S17 y S18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30 de noviembre al 13 de diciembre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Informe de casos de prueba y resultados dentro de la documentación final y la presentación</w:t>
            </w:r>
          </w:p>
        </w:tc>
      </w:tr>
    </w:tbl>
    <w:p>
      <w:pPr>
        <w:pStyle w:val="BodyText"/>
      </w:pPr>
      <w:r>
        <w:t xml:space="preserve">Las semanas salen de la carta Gantt de la Fase 1: la Fase 1 va de la S1 a la S4, la Fase 2 de la S5 a la S15 y la Fase 3 de la S16 a la S18. Las pruebas y la coordinación de calidad corren de la S6 a la S16. La S1 es la semana del 10 de agosto de 2026, así que la S9 es la del 5 al 11 de octubre (D-48). Las fechas de desarrollo salen de la base de tareas de Notion y son aproximadas.</w:t>
      </w:r>
    </w:p>
    <w:bookmarkEnd w:id="46"/>
    <w:bookmarkStart w:id="47" w:name="riesgos-de-las-pruebas"/>
    <w:p>
      <w:pPr>
        <w:pStyle w:val="Heading2"/>
      </w:pPr>
      <w:r>
        <w:t xml:space="preserve">Riesgos de las pruebas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Riesgo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Magnitud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Ocurrencia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Mitigación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Contingencia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entorno de pruebas no replica el clúster de tres nodos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Preparar el clúster antes del ciclo 1 y probar el failover con tiempo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Probar la recuperación en un clúster reducido y declararlo en el informe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Una integración externa no está disponible (Zabbix, Teams, Power Automate, lector HID)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Simuladores de cada integración, con el mismo formato de mensaje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Probar con el simulador y repetir con el sistema real cuando se pueda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backend aún no implementa una validación que la base no cubre (RI-09)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Casos de integridad desde el primer ciclo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Registrar el defecto y bloquear el cierre mientras siga 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Pocas personas para ejecutar y revisar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Priorizar los requerimientos Must y repartir roles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Dejar los Should para el último ciclo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Pruebas de seguridad o de carga dañan el entorno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Ejecutarlas solo en el entorno de pruebas con respaldo previo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Restaurar el entorno desde el respaldo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Cambios de requerimientos durante las pruebas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Casos ligados por ID a cada requerimiento y versión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Revisar los casos afectados y repetir el ciclo parcial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Datos simulados que se mezclan con los reales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Marca visible y persistente (RN-06)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Depurar los registros simulados por la marca</w:t>
            </w:r>
          </w:p>
        </w:tc>
      </w:tr>
    </w:tbl>
    <w:bookmarkEnd w:id="47"/>
    <w:bookmarkStart w:id="48" w:name="artefactos"/>
    <w:p>
      <w:pPr>
        <w:pStyle w:val="Heading2"/>
      </w:pPr>
      <w:r>
        <w:t xml:space="preserve">Artefactos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Artefacto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SICMA-PLP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Este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SICMA-CPR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Casos de prueba, con pasos, datos y resultado esperado, ligados a los requerimientos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Planilla de casos de prueba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Versión en hoja de cálculo de SICMA-CPR, para registrar el resultado obtenido por ciclo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Reporte de defecto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 reporte por cada defecto encontrado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Reporte de evidencia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Capturas y respuestas de cada caso ejecutado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Informe de resultados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Resumen por ciclo: casos ejecutados, aprobados, fallidos y defectos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Informe de seguridad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Resultados de las pruebas de seguridad y de OWASP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Informe de rendimiento y recuperación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Resultados de carga, estrés y caída del nodo primary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Informe de inspección de código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Resultado del análisis de SonarQube</w:t>
            </w:r>
          </w:p>
        </w:tc>
      </w:tr>
    </w:tbl>
    <w:bookmarkEnd w:id="48"/>
    <w:bookmarkStart w:id="49" w:name="trazabilidad"/>
    <w:p>
      <w:pPr>
        <w:pStyle w:val="Heading2"/>
      </w:pPr>
      <w:r>
        <w:t xml:space="preserve">Trazabilidad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Grupo de requerimientos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Tipos de prueba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Casos en SICMA-CPR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RF-ID, RNF-SEG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Funcional, seguridad, integridad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RF-ACT, RF-CAT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Funcional, integridad, usabilidad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Funcional, integración, integridad, rendimiento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RF-INF, RNF-REN-01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Integración, rendimiento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Integración, integridad, seguridad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Integración, extremo a extremo, integridad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RF-BI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Integración, inspección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RF-PLT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Funcional, compatibilidad, usabilidad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RNF-DIS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Recuperación del clúster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RNF-CAL, RNF-MNT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Estática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RNF-USO, RNF-LEG, RNF-DES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Usabilidad, revisión, inspección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</w:tbl>
    <w:p>
      <w:pPr>
        <w:pStyle w:val="BodyText"/>
      </w:pPr>
      <w:r>
        <w:t xml:space="preserve">La columna de casos se completa con los identificadores</w:t>
      </w:r>
      <w:r>
        <w:t xml:space="preserve"> </w:t>
      </w:r>
      <w:r>
        <w:rPr>
          <w:rStyle w:val="VerbatimChar"/>
        </w:rPr>
        <w:t xml:space="preserve">CP-&lt;grupo&gt;-NN</w:t>
      </w:r>
      <w:r>
        <w:t xml:space="preserve"> </w:t>
      </w:r>
      <w:r>
        <w:t xml:space="preserve">cuando exista SICMA-CPR.</w:t>
      </w:r>
    </w:p>
    <w:bookmarkEnd w:id="49"/>
    <w:bookmarkStart w:id="50" w:name="supuestos-y-pendientes"/>
    <w:p>
      <w:pPr>
        <w:pStyle w:val="Heading2"/>
      </w:pPr>
      <w:r>
        <w:t xml:space="preserve">Supuestos y pendientes</w:t>
      </w:r>
    </w:p>
    <w:p>
      <w:pPr>
        <w:pStyle w:val="FirstParagraph"/>
      </w:pPr>
      <w:r>
        <w:t xml:space="preserve">Los pendientes siguen la numeración de los otros documentos. D-43 a D-48 son nuevos.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Pendiente o supuesto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Supuesto mientras tanto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Afecta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 las pruebas se hacen sobre un entorno propio o sobre la instalación que usa el equipo hoy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Entorno de pruebas aparte con una copia de la 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Entorno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Quién cumple cada rol de pruebas. Decisión del usuario: Claudio Varas es el responsable y en la práctica las hacen los tres.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Claudio Varas es el responsable; ejecutan los tres integrantes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Resuelto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Herramientas de carga, seguridad y análisis estático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JMeter, k6 o Locust; OWASP ZAP y sqlmap; SonarQube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Entorno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D-46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 los criterios de salida CS-01 a CS-06 y los valores de rendimiento son los que pide el docente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>Los de este documento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Cierre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D-47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Cuándo estarán construidas las reglas RI-11, RI-16, RI-17 y RI-18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 prueban cuando existan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Integridad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Fechas de calendario de cada semana de la carta Gantt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S1 es la semana del 10 de agosto de 2026, por lo que la S9 es la del 5 al 11 de octubre. Confirmado por el usuario.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Calendario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Resuelto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D-02, D-03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Cómo se comunican Power Automate y el lector HID con SICMA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 prueba con simuladores del mensaje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Integración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Ley 21.719 sobre datos personales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 prueba contra la Ley 19.628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RNF-LEG-01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 el key user recibe avisos de las intervenciones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Recibe un aviso por correo, sin aprobar ni asignar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</w:tbl>
    <w:bookmarkEnd w:id="50"/>
    <w:bookmarkStart w:id="51" w:name="glosario-y-referencias"/>
    <w:p>
      <w:pPr>
        <w:pStyle w:val="Heading2"/>
      </w:pPr>
      <w:r>
        <w:t xml:space="preserve">Glosario y referencias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Término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Definición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Caso de prueba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Conjunto de pasos, datos y resultado esperado para comprobar un requerimiento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Ciclo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Una pasada completa de ejecución de los casos, seguida de corrección y regresión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Caja negra, gris y blanca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 prueba sin ver el código, viendo la base de datos, o revisando el código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Regresión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Repetir pruebas después de una corrección para ver que nada más se rompió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Criterio de entrada y de salida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Condiciones para empezar un ciclo y para darlo por terminado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Severidad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Qué tan grave es un defecto: crítica, alta, media o baja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Evidencia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Captura, respuesta o consulta que prueba el resultado de un caso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Idempotencia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Enviar dos veces el mismo mensaje no crea dos registros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Failover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Paso del servicio a otro nodo cuando cae el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Escala de usabilidad de un cuestionario corto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OWASP Top 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Lista de las diez categorías de riesgo más comunes en aplicaciones 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NC, 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 cumple y no aplica, en los casos estándar</w:t>
            </w:r>
          </w:p>
        </w:tc>
      </w:tr>
    </w:tbl>
    <w:p>
      <w:pPr>
        <w:pStyle w:val="Heading3"/>
      </w:pPr>
      <w:r>
        <w:t>Referencias</w:t>
      </w:r>
    </w:p>
    <w:p>
      <w:pPr>
        <w:pStyle w:val="BodyText"/>
      </w:pPr>
      <w:r>
        <w:rPr>
          <w:b/>
        </w:rPr>
        <w:t>Documentos del proyecto</w:t>
      </w:r>
    </w:p>
    <w:p>
      <w:pPr>
        <w:pStyle w:val="Compact"/>
        <w:spacing w:after="60"/>
        <w:ind w:left="510" w:hanging="510"/>
      </w:pPr>
      <w:r>
        <w:rPr>
          <w:b w:val="0"/>
        </w:rPr>
        <w:t>[1] Equipo SICMA. Formato Universal de documentos SICMA. 2026.</w:t>
      </w:r>
    </w:p>
    <w:p>
      <w:pPr>
        <w:pStyle w:val="Compact"/>
        <w:spacing w:after="60"/>
        <w:ind w:left="510" w:hanging="510"/>
      </w:pPr>
      <w:r>
        <w:rPr>
          <w:b w:val="0"/>
        </w:rPr>
        <w:t>[2] SICMA-REQ v1.0. Requerimientos. Equipo SICMA, 2026-10-17.</w:t>
      </w:r>
    </w:p>
    <w:p>
      <w:pPr>
        <w:pStyle w:val="Compact"/>
        <w:spacing w:after="60"/>
        <w:ind w:left="510" w:hanging="510"/>
      </w:pPr>
      <w:r>
        <w:rPr>
          <w:b w:val="0"/>
        </w:rPr>
        <w:t>[3] SICMA-CUS v1.0. Casos de Uso. Equipo SICMA, 2026-10-17.</w:t>
      </w:r>
    </w:p>
    <w:p>
      <w:pPr>
        <w:pStyle w:val="Compact"/>
        <w:spacing w:after="60"/>
        <w:ind w:left="510" w:hanging="510"/>
      </w:pPr>
      <w:r>
        <w:rPr>
          <w:b w:val="0"/>
        </w:rPr>
        <w:t>[4] SICMA-CLA v1.0. Diagrama de Clases. Equipo SICMA, 2026-10-17.</w:t>
      </w:r>
    </w:p>
    <w:p>
      <w:pPr>
        <w:pStyle w:val="Compact"/>
        <w:spacing w:after="60"/>
        <w:ind w:left="510" w:hanging="510"/>
      </w:pPr>
      <w:r>
        <w:rPr>
          <w:b w:val="0"/>
        </w:rPr>
        <w:t>[5] SICMA-ACT v1.0. Diagramas de Actividad. Equipo SICMA, 2026-10-17.</w:t>
      </w:r>
    </w:p>
    <w:p>
      <w:pPr>
        <w:pStyle w:val="Compact"/>
        <w:spacing w:after="60"/>
        <w:ind w:left="510" w:hanging="510"/>
      </w:pPr>
      <w:r>
        <w:rPr>
          <w:b w:val="0"/>
        </w:rPr>
        <w:t>[6] SICMA-BDD v1.0. Modelo de Base de Datos. Equipo SICMA, 2026-10-17.</w:t>
      </w:r>
    </w:p>
    <w:p>
      <w:pPr>
        <w:pStyle w:val="Compact"/>
        <w:spacing w:after="60"/>
        <w:ind w:left="510" w:hanging="510"/>
      </w:pPr>
      <w:r>
        <w:rPr>
          <w:b w:val="0"/>
        </w:rPr>
        <w:t>[7] SICMA-MCK v1.0. Mockups. Equipo SICMA, 2026-10-17.</w:t>
      </w:r>
    </w:p>
    <w:p>
      <w:pPr>
        <w:pStyle w:val="Compact"/>
        <w:spacing w:after="60"/>
        <w:ind w:left="510" w:hanging="510"/>
      </w:pPr>
      <w:r>
        <w:rPr>
          <w:b w:val="0"/>
        </w:rPr>
        <w:t>[8] SICMA-PRY v1.0. Plan del Proyecto. Equipo SICMA, 2026-10-17.</w:t>
      </w:r>
    </w:p>
    <w:p>
      <w:pPr>
        <w:pStyle w:val="BodyText"/>
      </w:pPr>
      <w:r>
        <w:rPr>
          <w:b/>
        </w:rPr>
        <w:t>Normas y fuentes externas</w:t>
      </w:r>
    </w:p>
    <w:p>
      <w:pPr>
        <w:pStyle w:val="Compact"/>
        <w:spacing w:after="60"/>
        <w:ind w:left="510" w:hanging="510"/>
      </w:pPr>
      <w:r>
        <w:rPr>
          <w:b w:val="0"/>
        </w:rPr>
        <w:t>[9] ISO/IEC/IEEE 29119-1:2022 y 29119-3:2021. Software and systems engineering, Software testing.</w:t>
      </w:r>
    </w:p>
    <w:p>
      <w:pPr>
        <w:pStyle w:val="Compact"/>
        <w:spacing w:after="60"/>
        <w:ind w:left="510" w:hanging="510"/>
      </w:pPr>
      <w:r>
        <w:rPr>
          <w:b w:val="0"/>
        </w:rPr>
        <w:t>[10] ISO/IEC 25010:2011. Systems and software engineering, Systems and software Quality Requirements and Evaluation (SQuaRE), System and software quality models.</w:t>
      </w:r>
    </w:p>
    <w:p>
      <w:pPr>
        <w:pStyle w:val="Compact"/>
        <w:spacing w:after="60"/>
        <w:ind w:left="510" w:hanging="510"/>
      </w:pPr>
      <w:r>
        <w:rPr>
          <w:b w:val="0"/>
        </w:rPr>
        <w:t>[11] IEEE Std 829-2008. IEEE Standard for Software and System Test Documentation.</w:t>
      </w:r>
    </w:p>
    <w:p>
      <w:pPr>
        <w:pStyle w:val="Compact"/>
        <w:spacing w:after="60"/>
        <w:ind w:left="510" w:hanging="510"/>
      </w:pPr>
      <w:r>
        <w:rPr>
          <w:b w:val="0"/>
        </w:rPr>
        <w:t>[12] OWASP Foundation. (2021). OWASP Top 10:2021. https://owasp.org/Top10/</w:t>
      </w:r>
    </w:p>
    <w:p>
      <w:pPr>
        <w:pStyle w:val="Compact"/>
        <w:spacing w:after="60"/>
        <w:ind w:left="510" w:hanging="510"/>
      </w:pPr>
      <w:r>
        <w:rPr>
          <w:b w:val="0"/>
        </w:rPr>
        <w:t>[13] W3C. (2023). Web Content Accessibility Guidelines (WCAG) 2.2. W3C Recommendation. https://www.w3.org/TR/WCAG22/</w:t>
      </w:r>
    </w:p>
    <w:bookmarkEnd w:id="51"/>
    <w:sectPr>
      <w:footerReference w:type="default" r:id="rId10"/>
      <w:pgSz w:w="12240" w:h="15840"/>
      <w:pgMar w:left="1247" w:right="1247" w:top="1247" w:bottom="124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7"/>
      </w:rPr>
      <w:t xml:space="preserve">SICMA-PLP · Versión 1.0 · Página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 PAGE 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  <w:r>
      <w:rPr>
        <w:color w:val="595959"/>
        <w:sz w:val="17"/>
      </w:rPr>
      <w:t xml:space="preserve"> de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 NUMPAGES 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cs="Calibri" w:eastAsia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cs="Calibri" w:eastAsia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cs="Calibri" w:eastAsia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cs="Calibri" w:eastAsia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cs="Calibri" w:eastAsia="Calib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Calibri" w:hAnsi="Calibri" w:cs="Calibri" w:eastAsia="Calibr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 w:cs="Calibri" w:eastAsia="Calib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 w:cs="Calibri" w:eastAsia="Calib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Calibri" w:hAnsi="Calibri" w:cs="Calibri" w:eastAsia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Calibri" w:hAnsi="Calibri" w:cs="Calibri" w:eastAsia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 w:cs="Calibri" w:eastAsia="Calib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 w:cs="Calibri" w:eastAsia="Calib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 w:cs="Calibri" w:eastAsia="Calibri"/>
      <w:b/>
    </w:rPr>
  </w:style>
  <w:style w:customStyle="1" w:styleId="Definition" w:type="paragraph">
    <w:name w:val="Definition"/>
    <w:basedOn w:val="Normal"/>
    <w:rPr>
      <w:rFonts w:ascii="Calibri" w:hAnsi="Calibri" w:cs="Calibri" w:eastAsia="Calib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 w:cs="Calibri" w:eastAsia="Calibri"/>
      <w:i/>
    </w:rPr>
  </w:style>
  <w:style w:customStyle="1" w:styleId="TableCaption" w:type="paragraph">
    <w:name w:val="Table Caption"/>
    <w:basedOn w:val="Caption"/>
    <w:pPr>
      <w:keepNext/>
    </w:pPr>
    <w:rPr>
      <w:rFonts w:ascii="Calibri" w:hAnsi="Calibri" w:cs="Calibri" w:eastAsia="Calibri"/>
    </w:rPr>
  </w:style>
  <w:style w:customStyle="1" w:styleId="ImageCaption" w:type="paragraph">
    <w:name w:val="Image Caption"/>
    <w:basedOn w:val="Caption"/>
    <w:rPr>
      <w:rFonts w:ascii="Calibri" w:hAnsi="Calibri" w:cs="Calibri" w:eastAsia="Calibri"/>
    </w:rPr>
  </w:style>
  <w:style w:customStyle="1" w:styleId="Figure" w:type="paragraph">
    <w:name w:val="Figure"/>
    <w:basedOn w:val="Normal"/>
    <w:rPr>
      <w:rFonts w:ascii="Calibri" w:hAnsi="Calibri" w:cs="Calibri" w:eastAsia="Calibri"/>
    </w:rPr>
  </w:style>
  <w:style w:customStyle="1" w:styleId="CaptionedFigure" w:type="paragraph">
    <w:name w:val="Captioned Figure"/>
    <w:basedOn w:val="Figure"/>
    <w:pPr>
      <w:keepNext/>
    </w:pPr>
    <w:rPr>
      <w:rFonts w:ascii="Calibri" w:hAnsi="Calibri" w:cs="Calibri" w:eastAsia="Calib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Calibri" w:hAnsi="Calibri" w:cs="Calibri" w:eastAsia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alibri" w:hAnsi="Calibri" w:cs="Calibri" w:eastAsia="Calibri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toc1">
    <w:name w:val="toc 1"/>
    <w:basedOn w:val="Normal"/>
    <w:pPr>
      <w:tabs>
        <w:tab w:pos="9746" w:val="right" w:leader="dot"/>
      </w:tabs>
      <w:spacing w:after="60" w:before="80"/>
      <w:ind w:left="0"/>
    </w:pPr>
    <w:rPr>
      <w:b/>
      <w:sz w:val="20"/>
    </w:rPr>
  </w:style>
  <w:style w:type="paragraph" w:customStyle="1" w:styleId="toc2">
    <w:name w:val="toc 2"/>
    <w:basedOn w:val="Normal"/>
    <w:pPr>
      <w:tabs>
        <w:tab w:pos="9746" w:val="right" w:leader="dot"/>
      </w:tabs>
      <w:spacing w:after="40" w:before="0"/>
      <w:ind w:left="283"/>
    </w:pPr>
    <w:rPr>
      <w:b w:val="0"/>
      <w:sz w:val="20"/>
    </w:rPr>
  </w:style>
  <w:style w:type="paragraph" w:customStyle="1" w:styleId="toc3">
    <w:name w:val="toc 3"/>
    <w:basedOn w:val="Normal"/>
    <w:pPr>
      <w:tabs>
        <w:tab w:pos="9746" w:val="right" w:leader="dot"/>
      </w:tabs>
      <w:spacing w:after="40" w:before="0"/>
      <w:ind w:left="567"/>
    </w:pPr>
    <w:rPr>
      <w:b w:val="0"/>
      <w:sz w:val="20"/>
    </w:rPr>
  </w:style>
  <w:style w:type="paragraph" w:customStyle="1" w:styleId="toc4">
    <w:name w:val="toc 4"/>
    <w:basedOn w:val="Normal"/>
    <w:pPr>
      <w:tabs>
        <w:tab w:pos="9746" w:val="right" w:leader="dot"/>
      </w:tabs>
      <w:spacing w:after="40" w:before="0"/>
      <w:ind w:left="850"/>
    </w:pPr>
    <w:rPr>
      <w:b w:val="0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SICMA · Plan de Pruebas</dc:title>
  <dc:creator/>
  <cp:keywords/>
  <dcterms:created xsi:type="dcterms:W3CDTF">2026-10-10T17:14:20Z</dcterms:created>
  <dcterms:modified xsi:type="dcterms:W3CDTF">2026-10-10T17:14:20Z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2026-10-10</vt:lpwstr>
  </property>
  <property fmtid="{D5CDD505-2E9C-101B-9397-08002B2CF9AE}" pid="3" name="subtitle">
    <vt:lpwstr>SICMA-PLP · Versión 0.3 · Borrador</vt:lpwstr>
  </property>
</Properties>
</file>