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FASE 1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Documento de mockups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Propuesta de interfaces web y móvil · Datacenter simulado · Un semestre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Versión: 1.2 · revisión de alineación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Actualización: 5 de octubre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 xml:space="preserve">Incluye 12 vistas web y cuatro vistas móviles agrupadas en dos láminas. Los datos, personas operativas y fechas mostrados son ejemplos de demostración. No corresponde a capturas de un sistema implementado.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fldChar w:fldCharType="begin"/>
      </w:r>
      <w:r>
        <w:instrText> TOC \o "1-1" \h \z \u </w:instrText>
      </w:r>
      <w:r>
        <w:fldChar w:fldCharType="separate"/>
      </w:r>
      <w:r>
        <w:rPr>
          <w:b w:val="0"/>
          <w:sz w:val="20"/>
        </w:rPr>
        <w:t>Registro de alineación con el Kanban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1. Alcance y criterios de interfaz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MW-01 · Inicio de sesión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MW-02 · Navegación inicial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MW-03 · Listado de activos</w:t>
        <w:tab/>
        <w:t>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MW-04 · Alta y edición de activo</w:t>
        <w:tab/>
        <w:t>7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MW-05 · Ficha e historial</w:t>
        <w:tab/>
        <w:t>8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MW-06 · Ambiente e historial</w:t>
        <w:tab/>
        <w:t>9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MW-07 · Consulta de alerta</w:t>
        <w:tab/>
        <w:t>10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MW-08 · Eventos de acceso HID</w:t>
        <w:tab/>
        <w:t>11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MW-09 · Listado y planificación de intervenciones</w:t>
        <w:tab/>
        <w:t>12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MW-10 · Decisión y asignación</w:t>
        <w:tab/>
        <w:t>13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MW-11 · Inicio, bitácora y finalización</w:t>
        <w:tab/>
        <w:t>14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MW-12 · Cuentas y umbrales</w:t>
        <w:tab/>
        <w:t>15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MM-01 · Móvil: inicio y ficha</w:t>
        <w:tab/>
        <w:t>16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MM-02 · Móvil: ambiente y alertas</w:t>
        <w:tab/>
        <w:t>17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3. Cobertura y revisión del diseño</w:t>
        <w:tab/>
        <w:t>17</w:t>
      </w:r>
      <w:r>
        <w:fldChar w:fldCharType="end"/>
      </w:r>
    </w:p>
    <w:p>
      <w:r>
        <w:br w:type="page"/>
      </w:r>
    </w:p>
    <w:p>
      <w:pPr>
        <w:pStyle w:val="Heading1"/>
        <w:spacing w:after="200" w:before="400"/>
      </w:pPr>
      <w:r>
        <w:t>Registro de alineación con el Kanban</w:t>
      </w:r>
    </w:p>
    <w:p>
      <w:pPr>
        <w:pStyle w:val="ListParagraph"/>
        <w:numPr>
          <w:ilvl w:val="0"/>
          <w:numId w:val="1"/>
        </w:numPr>
        <w:spacing w:after="80"/>
      </w:pPr>
      <w:r>
        <w:t>Se conservan portada, estilos, 12 vistas web y cuatro móviles en dos láminas. Se actualizan contenidos y acciones al alcance vigente.</w:t>
      </w:r>
    </w:p>
    <w:p>
      <w:pPr>
        <w:pStyle w:val="ListParagraph"/>
        <w:numPr>
          <w:ilvl w:val="0"/>
          <w:numId w:val="1"/>
        </w:numPr>
        <w:spacing w:after="80"/>
      </w:pPr>
      <w:r>
        <w:t>Quedan fuera reservas propias y resolución de solapamientos, permisos físicos administrados en SICMA, salud general de dependencias, adjuntos, exportaciones generales y un dashboard analítico web que duplique Power BI. Se mantienen las exclusiones de QR, auditoría general, respaldo lógico, biometría cruda y actuación física.</w:t>
      </w:r>
    </w:p>
    <w:p>
      <w:pPr>
        <w:pStyle w:val="ListParagraph"/>
        <w:numPr>
          <w:ilvl w:val="0"/>
          <w:numId w:val="1"/>
        </w:numPr>
        <w:spacing w:after="80"/>
      </w:pPr>
      <w:r>
        <w:t>MW-02 pasa a navegación sin panel analítico duplicado. MW-12 contiene cuentas y umbrales; no salud general ni administración de instalación.</w:t>
      </w:r>
    </w:p>
    <w:p>
      <w:pPr>
        <w:pStyle w:val="ListParagraph"/>
        <w:numPr>
          <w:ilvl w:val="0"/>
          <w:numId w:val="1"/>
        </w:numPr>
        <w:spacing w:after="80"/>
      </w:pPr>
      <w:r>
        <w:t>MW-08 consulta eventos HID; altas y bajas físicas permanecen fuera de SICMA.</w:t>
      </w:r>
    </w:p>
    <w:p>
      <w:pPr>
        <w:pStyle w:val="ListParagraph"/>
        <w:numPr>
          <w:ilvl w:val="0"/>
          <w:numId w:val="1"/>
        </w:numPr>
        <w:spacing w:after="80"/>
      </w:pPr>
      <w:r>
        <w:t>MW-09 abre Forms; MW-10 decide y asigna; MW-11 registra ejecución sin reservas ni adjuntos.</w:t>
      </w:r>
    </w:p>
    <w:p>
      <w:pPr>
        <w:pStyle w:val="ListParagraph"/>
        <w:numPr>
          <w:ilvl w:val="0"/>
          <w:numId w:val="1"/>
        </w:numPr>
        <w:spacing w:after="80"/>
      </w:pPr>
      <w:r>
        <w:t>Las referencias usan los 21 casos vigentes. Sesión y recuperación dependen de Django; no se crean tablas de negocio innecesarias.</w:t>
      </w:r>
    </w:p>
    <w:p>
      <w:pPr>
        <w:spacing w:after="150"/>
      </w:pPr>
      <w:r>
        <w:t>La dedicación confirmada es de 15 horas semanales por integrante: 3 personas × 15 h × 18 semanas = 810 horas-persona (270 por persona). El Kanban agrupa 36 tareas y 720 horas estimadas, con 90 horas de reserva dentro del mismo semestre; no son horas ejecutadas.</w:t>
      </w:r>
    </w:p>
    <w:p>
      <w:pPr>
        <w:pStyle w:val="Heading1"/>
        <w:spacing w:after="200" w:before="400"/>
      </w:pPr>
      <w:r>
        <w:t xml:space="preserve">1. Alcance y criterios de interfaz</w:t>
      </w:r>
    </w:p>
    <w:p>
      <w:pPr>
        <w:spacing w:after="150"/>
      </w:pPr>
      <w:r>
        <w:t xml:space="preserve">Los mockups traducen los requisitos, casos de uso, clases, actividades y modelo de datos a pantallas propuestas. Las vistas representan los recorridos principales; los formularios y variantes complementarios se especifican bajo cada imagen. El documento no es un prototipo interactivo ni reemplaza las reglas del servidor.</w:t>
      </w:r>
    </w:p>
    <w:p>
      <w:pPr>
        <w:spacing w:after="150"/>
      </w:pPr>
      <w:r>
        <w:t>Web operativa según rol. Ionic consulta activos, ambiente y alertas; no ofrece acciones de negocio ni módulos opcionales de accesos o intervenciones.</w:t>
      </w:r>
    </w:p>
    <w:p>
      <w:pPr>
        <w:spacing w:after="150"/>
      </w:pPr>
      <w:r>
        <w:t xml:space="preserve">Convenciones visuales. Azul oscuro identifica navegación; verde azulado, acciones principales. Las alertas incluyen texto de estado y severidad para no depender solo del color. Etiquetas visibles identifican campos; * indica obligatoriedad. Fechas de pantalla usan hora local de Chile; la persistencia mantiene UTC.</w:t>
      </w:r>
    </w:p>
    <w:p>
      <w:pPr>
        <w:spacing w:after="150"/>
      </w:pPr>
      <w:r>
        <w:t xml:space="preserve">Permisos. La navegación lateral de los bocetos muestra el mapa general como referencia de diseño; la implementación debe ocultar destinos no autorizados. El rol mostrado representa el actor del escenario, no otorga acceso al resto de las secciones dibujadas. La API valida cada acción y cada objeto solicitado.</w:t>
      </w:r>
    </w:p>
    <w:p>
      <w:pPr>
        <w:spacing w:after="150"/>
      </w:pPr>
      <w:r>
        <w:t xml:space="preserve">Accesibilidad propuesta. Mantener foco visible y navegación por teclado, orden de lectura lógico, mensajes vinculados a su campo y botones con nombre descriptivo. En móvil, usar controles suficientemente separados y permitir volver sin perder filtros. Confirmar legibilidad y uso con los tres integrantes antes de implementar.</w:t>
      </w:r>
    </w:p>
    <w:p>
      <w:pPr>
        <w:spacing w:after="150"/>
      </w:pPr>
      <w:r>
        <w:t xml:space="preserve">Estados transversales. Toda consulta distingue carga, vacío, error y datos desactualizados. Toda escritura muestra resultado y evita doble envío. Cancelar cambios solicita confirmación cuando hay información sin guardar. Ocultar un botón no reemplaza la autorización en servidor.</w:t>
      </w:r>
    </w:p>
    <w:p>
      <w:pPr>
        <w:pStyle w:val="Heading1"/>
        <w:spacing w:after="200" w:before="400"/>
      </w:pPr>
      <w:r>
        <w:t xml:space="preserve">MW-01 · Inicio de sesión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MW-01.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Todos los usuarios activos.</w:t>
      </w:r>
    </w:p>
    <w:p>
      <w:pPr>
        <w:spacing w:after="100"/>
      </w:pPr>
      <w:r>
        <w:rPr>
          <w:b/>
          <w:bCs/>
        </w:rPr>
        <w:t>Ingresar valida credenciales; recuperación por enlace de un uso y 30 minutos. Inactividad de 15 minutos exige autenticación.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Credenciales inválidas: mensaje genérico. Usuario desactivado o sesión revocada: bloquear acceso. Recuperación: enlace de un solo uso, 30 minutos; no revelar si el correo existe.</w:t>
      </w:r>
    </w:p>
    <w:p>
      <w:pPr>
        <w:spacing w:after="100"/>
      </w:pPr>
      <w:r>
        <w:rPr>
          <w:b/>
          <w:bCs/>
        </w:rPr>
        <w:t xml:space="preserve">Trazabilidad: </w:t>
      </w:r>
      <w:r>
        <w:t xml:space="preserve">CU-01 a CU-03; usuario (incluye rol). Sesión (JWT) y recuperación de contraseña no se modelan como tablas propias de SICMA.</w:t>
      </w:r>
    </w:p>
    <w:p>
      <w:pPr>
        <w:pStyle w:val="Heading1"/>
        <w:spacing w:after="200" w:before="400"/>
      </w:pPr>
      <w:r>
        <w:t>MW-02 · Navegación inicial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MW-02.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Consulta según permisos del usuario.</w:t>
      </w:r>
    </w:p>
    <w:p>
      <w:pPr>
        <w:spacing w:after="100"/>
      </w:pPr>
      <w:r>
        <w:rPr>
          <w:b/>
          <w:bCs/>
        </w:rPr>
        <w:t>Los accesos conducen a los módulos permitidos. Power BI abre el informe autorizado; no se calculan indicadores duplicados en Angular.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Sin datos: mostrar Sin registros, no ceros inferidos. Una dependencia sin señal muestra No disponible y la hora del último dato válido.</w:t>
      </w:r>
    </w:p>
    <w:p>
      <w:pPr>
        <w:spacing w:after="100"/>
      </w:pPr>
      <w:r>
        <w:rPr>
          <w:b/>
          <w:bCs/>
        </w:rPr>
        <w:t>Trazabilidad: RF-PLT-01; CU-06, CU-09, CU-17 y CU-21.</w:t>
      </w:r>
    </w:p>
    <w:p>
      <w:pPr>
        <w:pStyle w:val="Heading1"/>
        <w:spacing w:after="200" w:before="400"/>
      </w:pPr>
      <w:r>
        <w:t xml:space="preserve">MW-03 · Listado de activos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MW-03.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Administrador y Técnico gestionan. Jefatura y Auditor consultan.</w:t>
      </w:r>
    </w:p>
    <w:p>
      <w:pPr>
        <w:spacing w:after="100"/>
      </w:pPr>
      <w:r>
        <w:rPr>
          <w:b/>
          <w:bCs/>
        </w:rPr>
        <w:t xml:space="preserve">Comportamiento: </w:t>
      </w:r>
      <w:r>
        <w:t xml:space="preserve">Buscar combina filtros de ubicación, estado, tipo y criticidad. Abrir lleva a la ficha; Nuevo abre el formulario. Mantener filtros al volver.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Sin coincidencias: permitir limpiar filtros. Error de carga: conservar filtros y ofrecer Reintentar. Ocultar Nuevo en perfiles de consulta y comprobar autorización en servidor.</w:t>
      </w:r>
    </w:p>
    <w:p>
      <w:pPr>
        <w:spacing w:after="100"/>
      </w:pPr>
      <w:r>
        <w:rPr>
          <w:b/>
          <w:bCs/>
        </w:rPr>
        <w:t xml:space="preserve">Trazabilidad: </w:t>
      </w:r>
      <w:r>
        <w:t xml:space="preserve">CU-04 a CU-07; activo y ubicacion.</w:t>
      </w:r>
    </w:p>
    <w:p>
      <w:pPr>
        <w:pStyle w:val="Heading1"/>
        <w:spacing w:after="200" w:before="400"/>
      </w:pPr>
      <w:r>
        <w:t xml:space="preserve">MW-04 · Alta y edición de activo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MW-04.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Administrador y Técnico.</w:t>
      </w:r>
    </w:p>
    <w:p>
      <w:pPr>
        <w:spacing w:after="100"/>
      </w:pPr>
      <w:r>
        <w:rPr>
          <w:b/>
          <w:bCs/>
        </w:rPr>
        <w:t xml:space="preserve">Comportamiento: </w:t>
      </w:r>
      <w:r>
        <w:t xml:space="preserve">Código, nombre, tipo, marca, modelo, serie, ubicación, estado, criticidad y fecha son obligatorios. Marca/modelo y estado/criticidad se muestran agrupados en el boceto, pero se capturan en controles independientes.</w:t>
      </w:r>
    </w:p>
    <w:p>
      <w:pPr>
        <w:spacing w:after="100"/>
      </w:pPr>
      <w:r>
        <w:rPr>
          <w:b/>
          <w:bCs/>
        </w:rPr>
        <w:t>Datos inválidos o código duplicado: indicar el campo y no guardar. Cancelar conserva la navegación; no se añade control de posiciones exclusivas.</w:t>
      </w:r>
    </w:p>
    <w:p>
      <w:pPr>
        <w:spacing w:after="100"/>
      </w:pPr>
      <w:r>
        <w:rPr>
          <w:b/>
          <w:bCs/>
        </w:rPr>
        <w:t>Trazabilidad: CU-04; Activo e HistorialActivo.</w:t>
      </w:r>
    </w:p>
    <w:p>
      <w:pPr>
        <w:pStyle w:val="Heading1"/>
        <w:spacing w:after="200" w:before="400"/>
      </w:pPr>
      <w:r>
        <w:t xml:space="preserve">MW-05 · Ficha e historial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MW-05.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Lectura por roles autorizados; cambios solo Administrador y Técnico.</w:t>
      </w:r>
    </w:p>
    <w:p>
      <w:pPr>
        <w:spacing w:after="100"/>
      </w:pPr>
      <w:r>
        <w:rPr>
          <w:b/>
          <w:bCs/>
        </w:rPr>
        <w:t>El historial muestra eventos y cambios. Retirar conserva referencias; sin adjuntos.</w:t>
      </w:r>
    </w:p>
    <w:p>
      <w:pPr>
        <w:spacing w:after="100"/>
      </w:pPr>
      <w:r>
        <w:rPr>
          <w:b/>
          <w:bCs/>
        </w:rPr>
        <w:t>Conservar historial y advertir trabajo en curso para resolución antes del retiro; confirmar esta regla operativa. Un acceso al entorno no prueba manipulación del activo.</w:t>
      </w:r>
    </w:p>
    <w:p>
      <w:pPr>
        <w:spacing w:after="100"/>
      </w:pPr>
      <w:r>
        <w:rPr>
          <w:b/>
          <w:bCs/>
        </w:rPr>
        <w:t>Trazabilidad: CU-05 y CU-06; Activo e HistorialActivo.</w:t>
      </w:r>
    </w:p>
    <w:p>
      <w:pPr>
        <w:pStyle w:val="Heading1"/>
        <w:spacing w:after="200" w:before="400"/>
      </w:pPr>
      <w:r>
        <w:t>MW-06 · Ambiente e historial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MW-06.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Consulta según rol; configuración de sensores y umbrales por Administrador.</w:t>
      </w:r>
    </w:p>
    <w:p>
      <w:pPr>
        <w:spacing w:after="100"/>
      </w:pPr>
      <w:r>
        <w:rPr>
          <w:b/>
          <w:bCs/>
        </w:rPr>
        <w:t xml:space="preserve">Comportamiento: </w:t>
      </w:r>
      <w:r>
        <w:t xml:space="preserve">Seleccionar ubicación y periodo; abrir sensor para lecturas históricas. Administrador puede registrar sensor y versionar mínimos/máximos por variable y ubicación.</w:t>
      </w:r>
    </w:p>
    <w:p>
      <w:pPr>
        <w:spacing w:after="100"/>
      </w:pPr>
      <w:r>
        <w:rPr>
          <w:b/>
          <w:bCs/>
        </w:rPr>
        <w:t>Mostrar fecha, unidad y origen. Sin datos: indicarlo; no inferir salud por falta de eventos. Validar mínimo menor que máximo.</w:t>
      </w:r>
    </w:p>
    <w:p>
      <w:pPr>
        <w:spacing w:after="100"/>
      </w:pPr>
      <w:r>
        <w:rPr>
          <w:b/>
          <w:bCs/>
        </w:rPr>
        <w:t>Trazabilidad: CU-07 a CU-09; Sensor, Medicion y UmbralAmbiental.</w:t>
      </w:r>
    </w:p>
    <w:p>
      <w:pPr>
        <w:pStyle w:val="Heading1"/>
        <w:spacing w:after="200" w:before="400"/>
      </w:pPr>
      <w:r>
        <w:t>MW-07 · Consulta de alerta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MW-07. Propuesta visual de elaboración propia.</w:t>
      </w:r>
    </w:p>
    <w:p>
      <w:pPr>
        <w:spacing w:after="100"/>
      </w:pPr>
      <w:r>
        <w:rPr>
          <w:b/>
          <w:bCs/>
        </w:rPr>
        <w:t>Permisos: consulta según rol; sin atención manual.</w:t>
      </w:r>
    </w:p>
    <w:p>
      <w:pPr>
        <w:spacing w:after="100"/>
      </w:pPr>
      <w:r>
        <w:rPr>
          <w:b/>
          <w:bCs/>
        </w:rPr>
        <w:t>Mostrar condición, lectura o problema de origen y evidencia de notificación.</w:t>
      </w:r>
    </w:p>
    <w:p>
      <w:pPr>
        <w:spacing w:after="100"/>
      </w:pPr>
      <w:r>
        <w:rPr>
          <w:b/>
          <w:bCs/>
        </w:rPr>
        <w:t>Un fallo SMTP no elimina la alerta; no se ofrecen reconocer ni cerrar.</w:t>
      </w:r>
    </w:p>
    <w:p>
      <w:pPr>
        <w:spacing w:after="100"/>
      </w:pPr>
      <w:r>
        <w:rPr>
          <w:b/>
          <w:bCs/>
        </w:rPr>
        <w:t>Trazabilidad: CU-10 y CU-11; Alerta y Notificacion.</w:t>
      </w:r>
    </w:p>
    <w:p>
      <w:pPr>
        <w:pStyle w:val="Heading1"/>
        <w:spacing w:after="200" w:before="400"/>
      </w:pPr>
      <w:r>
        <w:t>MW-08 · Eventos de acceso HID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MW-08. Propuesta visual de elaboración propia.</w:t>
      </w:r>
    </w:p>
    <w:p>
      <w:pPr>
        <w:spacing w:after="100"/>
      </w:pPr>
      <w:r>
        <w:rPr>
          <w:b/>
          <w:bCs/>
        </w:rPr>
        <w:t>Permisos: consulta según rol. No se gestionan permisos físicos.</w:t>
      </w:r>
    </w:p>
    <w:p>
      <w:pPr>
        <w:spacing w:after="100"/>
      </w:pPr>
      <w:r>
        <w:rPr>
          <w:b/>
          <w:bCs/>
        </w:rPr>
        <w:t>Mostrar identidad externa, punto, fecha y decisión recibida de HID; filtros por fecha y resultado.</w:t>
      </w:r>
    </w:p>
    <w:p>
      <w:pPr>
        <w:spacing w:after="100"/>
      </w:pPr>
      <w:r>
        <w:rPr>
          <w:b/>
          <w:bCs/>
        </w:rPr>
        <w:t>No editar eventos ni almacenar huellas. Contratistas administra altas y bajas externas.</w:t>
      </w:r>
    </w:p>
    <w:p>
      <w:pPr>
        <w:spacing w:after="100"/>
      </w:pPr>
      <w:r>
        <w:rPr>
          <w:b/>
          <w:bCs/>
        </w:rPr>
        <w:t>Trazabilidad: CU-12 y CU-13; PuntoAcceso y EventoAcceso.</w:t>
      </w:r>
    </w:p>
    <w:p>
      <w:pPr>
        <w:pStyle w:val="Heading1"/>
        <w:spacing w:after="200" w:before="400"/>
      </w:pPr>
      <w:r>
        <w:t xml:space="preserve">MW-09 · Listado y planificación de intervenciones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MW-09. Propuesta visual de elaboración propia.</w:t>
      </w:r>
    </w:p>
    <w:p>
      <w:pPr>
        <w:spacing w:after="100"/>
      </w:pPr>
      <w:r>
        <w:rPr>
          <w:b/>
          <w:bCs/>
        </w:rPr>
        <w:t>Permisos: solicitante usa Forms; key users decide; Técnico asignado ejecuta; Auditor consulta.</w:t>
      </w:r>
    </w:p>
    <w:p>
      <w:pPr>
        <w:spacing w:after="100"/>
      </w:pPr>
      <w:r>
        <w:rPr>
          <w:b/>
          <w:bCs/>
        </w:rPr>
        <w:t>Abrir Forms permite solicitar. Power Automate crea evento en calendario dedicado y sincroniza la referencia con SICMA.</w:t>
      </w:r>
    </w:p>
    <w:p>
      <w:pPr>
        <w:spacing w:after="100"/>
      </w:pPr>
      <w:r>
        <w:rPr>
          <w:b/>
          <w:bCs/>
        </w:rPr>
        <w:t>Reintentos no duplican solicitudes ni eventos. Un fallo de calendario se informa y no equivale a rechazo de negocio.</w:t>
      </w:r>
    </w:p>
    <w:p>
      <w:pPr>
        <w:spacing w:after="100"/>
      </w:pPr>
      <w:r>
        <w:rPr>
          <w:b/>
          <w:bCs/>
        </w:rPr>
        <w:t>Trazabilidad: CU-14 y CU-17; Intervencion e IntervencionActivo.</w:t>
      </w:r>
    </w:p>
    <w:p>
      <w:pPr>
        <w:pStyle w:val="Heading1"/>
        <w:spacing w:after="200" w:before="400"/>
      </w:pPr>
      <w:r>
        <w:t>MW-10 · Decisión y asignación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MW-10. Propuesta visual de elaboración propia.</w:t>
      </w:r>
    </w:p>
    <w:p>
      <w:pPr>
        <w:spacing w:after="100"/>
      </w:pPr>
      <w:r>
        <w:rPr>
          <w:b/>
          <w:bCs/>
        </w:rPr>
        <w:t>Permisos: key users autorizado; confirmar mapeo a Jefatura.</w:t>
      </w:r>
    </w:p>
    <w:p>
      <w:pPr>
        <w:spacing w:after="100"/>
      </w:pPr>
      <w:r>
        <w:rPr>
          <w:b/>
          <w:bCs/>
        </w:rPr>
        <w:t>Aprobar o rechazar registra autor, fecha y observación; asignar Técnico para ejecución.</w:t>
      </w:r>
    </w:p>
    <w:p>
      <w:pPr>
        <w:spacing w:after="100"/>
      </w:pPr>
      <w:r>
        <w:rPr>
          <w:b/>
          <w:bCs/>
        </w:rPr>
        <w:t>Comprobar estado vigente y autorización. No se evalúan reservas ni colisiones propias.</w:t>
      </w:r>
    </w:p>
    <w:p>
      <w:pPr>
        <w:spacing w:after="100"/>
      </w:pPr>
      <w:r>
        <w:rPr>
          <w:b/>
          <w:bCs/>
        </w:rPr>
        <w:t>Trazabilidad: CU-15; Intervencion e HistorialIntervencion.</w:t>
      </w:r>
    </w:p>
    <w:p>
      <w:pPr>
        <w:pStyle w:val="Heading1"/>
        <w:spacing w:after="200" w:before="400"/>
      </w:pPr>
      <w:r>
        <w:t xml:space="preserve">MW-11 · Inicio, bitácora y finalización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MW-11.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Solo el Técnico responsable inicia y termina.</w:t>
      </w:r>
    </w:p>
    <w:p>
      <w:pPr>
        <w:spacing w:after="100"/>
      </w:pPr>
      <w:r>
        <w:rPr>
          <w:b/>
          <w:bCs/>
        </w:rPr>
        <w:t>Iniciar, registrar avance y cerrar con resultado. Se conservan autor, fechas, activos e historial.</w:t>
      </w:r>
    </w:p>
    <w:p>
      <w:pPr>
        <w:spacing w:after="100"/>
      </w:pPr>
      <w:r>
        <w:rPr>
          <w:b/>
          <w:bCs/>
        </w:rPr>
        <w:t>Rechazar técnico no asignado y transición inválida. No se agregan adjuntos ni extensiones propias de ventana.</w:t>
      </w:r>
    </w:p>
    <w:p>
      <w:pPr>
        <w:spacing w:after="100"/>
      </w:pPr>
      <w:r>
        <w:rPr>
          <w:b/>
          <w:bCs/>
        </w:rPr>
        <w:t>Trazabilidad: CU-16; Intervencion e HistorialIntervencion.</w:t>
      </w:r>
    </w:p>
    <w:p>
      <w:pPr>
        <w:pStyle w:val="Heading1"/>
        <w:spacing w:after="200" w:before="400"/>
      </w:pPr>
      <w:r>
        <w:t>MW-12 · Cuentas y umbrales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MW-12.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Administrador.</w:t>
      </w:r>
    </w:p>
    <w:p>
      <w:pPr>
        <w:spacing w:after="100"/>
      </w:pPr>
      <w:r>
        <w:rPr>
          <w:b/>
          <w:bCs/>
        </w:rPr>
        <w:t>Crear, editar, desactivar cuentas y asignar rol; configurar umbrales ambientales por zona o dispositivo.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Cambiar rol o contraseña revoca sesiones. No afirmar actualización BI sin señal comprobable. SMTP aceptado no equivale a lectura. El estado de Power Automate no equivale a confirmación de lectura por el destinatario.</w:t>
      </w:r>
    </w:p>
    <w:p>
      <w:pPr>
        <w:spacing w:after="100"/>
      </w:pPr>
      <w:r>
        <w:rPr>
          <w:b/>
          <w:bCs/>
        </w:rPr>
        <w:t>Trazabilidad: CU-02 y CU-08; Usuario y UmbralAmbiental.</w:t>
      </w:r>
    </w:p>
    <w:p>
      <w:pPr>
        <w:pStyle w:val="Heading1"/>
        <w:spacing w:after="200" w:before="400"/>
      </w:pPr>
      <w:r>
        <w:t xml:space="preserve">MM-01 · Móvil: inicio y ficha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MM-01.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Usuario autenticado, con el mismo alcance de lectura autorizado en la web.</w:t>
      </w:r>
    </w:p>
    <w:p>
      <w:pPr>
        <w:spacing w:after="100"/>
      </w:pPr>
      <w:r>
        <w:rPr>
          <w:b/>
          <w:bCs/>
        </w:rPr>
        <w:t xml:space="preserve">Comportamiento: </w:t>
      </w:r>
      <w:r>
        <w:t xml:space="preserve">Buscar activo abre una ficha autorizada mediante código, nombre o serie.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Sin conexión: mostrar error y última consulta si existe, sin afirmar datos actuales. Sesión vencida: volver al acceso. Activo no autorizado: informar sin revelar datos.</w:t>
      </w:r>
    </w:p>
    <w:p>
      <w:pPr>
        <w:spacing w:after="100"/>
      </w:pPr>
      <w:r>
        <w:rPr>
          <w:b/>
          <w:bCs/>
        </w:rPr>
        <w:t>Trazabilidad: CU-01 y CU-06; RF-PLT-02.</w:t>
      </w:r>
    </w:p>
    <w:p>
      <w:pPr>
        <w:pStyle w:val="Heading1"/>
        <w:spacing w:after="200" w:before="400"/>
      </w:pPr>
      <w:r>
        <w:t>MM-02 · Móvil: ambiente y alertas</w:t>
      </w:r>
    </w:p>
    <w:p>
      <w:pPr>
        <w:spacing w:after="100"/>
      </w:pPr>
      <w:r>
        <w:drawing>
          <wp:inline distT="0" distB="0" distL="0" distR="0">
            <wp:extent cx="58674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595959"/>
        </w:rPr>
        <w:t xml:space="preserve">Figura MM-02. Propuesta visual de elaboración propia.</w:t>
      </w:r>
    </w:p>
    <w:p>
      <w:pPr>
        <w:spacing w:after="100"/>
      </w:pPr>
      <w:r>
        <w:rPr>
          <w:b/>
          <w:bCs/>
        </w:rPr>
        <w:t xml:space="preserve">Permisos: </w:t>
      </w:r>
      <w:r>
        <w:t xml:space="preserve">Usuario autenticado, con el mismo alcance de lectura autorizado en la web.</w:t>
      </w:r>
    </w:p>
    <w:p>
      <w:pPr>
        <w:spacing w:after="100"/>
      </w:pPr>
      <w:r>
        <w:rPr>
          <w:b/>
          <w:bCs/>
        </w:rPr>
        <w:t>Consultar lecturas e historial ambiental; abrir alerta muestra condición, origen y fecha.</w:t>
      </w:r>
    </w:p>
    <w:p>
      <w:pPr>
        <w:spacing w:after="100"/>
      </w:pPr>
      <w:r>
        <w:rPr>
          <w:b/>
          <w:bCs/>
        </w:rPr>
        <w:t xml:space="preserve">Validaciones y variantes: </w:t>
      </w:r>
      <w:r>
        <w:t xml:space="preserve">No incluir reconocer, cerrar, aprobar, iniciar ni finalizar. Mostrar fecha del último dato; actualizar al recuperar conexión. El móvil no modifica registros de negocio.</w:t>
      </w:r>
    </w:p>
    <w:p>
      <w:pPr>
        <w:spacing w:after="100"/>
      </w:pPr>
      <w:r>
        <w:rPr>
          <w:b/>
          <w:bCs/>
        </w:rPr>
        <w:t>Trazabilidad: CU-09 y CU-10; RF-PLT-02.</w:t>
      </w:r>
    </w:p>
    <w:p>
      <w:pPr>
        <w:pStyle w:val="Heading1"/>
        <w:spacing w:after="200" w:before="400"/>
      </w:pPr>
      <w:r>
        <w:t xml:space="preserve">3. Cobertura y revisión del diseño</w:t>
      </w:r>
    </w:p>
    <w:p>
      <w:pPr>
        <w:spacing w:after="150"/>
      </w:pPr>
      <w:r>
        <w:t>Recorridos: acceso, navegación, listado y detalle. Forms inicia solicitudes; web decide y ejecuta; Power Automate agenda y notifica. Indicadores en Power BI.</w:t>
      </w:r>
    </w:p>
    <w:p>
      <w:pPr>
        <w:spacing w:after="150"/>
      </w:pPr>
      <w:r>
        <w:t>Variantes: recuperación, cuentas, búsqueda, retiro lógico, umbrales, decisiones, avance/cierre y errores de integración. Se desarrollan en las tarjetas vigentes, sin duplicar horas.</w:t>
      </w:r>
    </w:p>
    <w:p>
      <w:pPr>
        <w:spacing w:after="150"/>
      </w:pPr>
      <w:r>
        <w:t>Eventos inalterables; HID decide el ingreso; móvil de lectura; calendario externo; Power BI con fecha verificable.</w:t>
      </w:r>
    </w:p>
    <w:p>
      <w:pPr>
        <w:spacing w:after="150"/>
      </w:pPr>
      <w:r>
        <w:t>Revisión propuesta: alta y búsqueda de activo, consulta de alerta, solicitud Forms, agenda, decisión y ejecución asignada. Probar permisos, duplicados, sesión vencida, datos inválidos y fallos externos. No se afirma ejecución de estas pruebas.</w:t>
      </w:r>
    </w:p>
    <w:p>
      <w:pPr>
        <w:spacing w:after="150"/>
      </w:pPr>
      <w:r>
        <w:t>Las pantallas son diseños para revisión y no evidencia de implementación. La carga se contabiliza en las 720 h del Kanban.</w:t>
      </w:r>
    </w:p>
    <w:p>
      <w:pPr>
        <w:pStyle w:val="Heading2"/>
        <w:spacing w:after="150" w:before="300"/>
      </w:pPr>
      <w:r>
        <w:t xml:space="preserve">Referencias</w:t>
      </w:r>
    </w:p>
    <w:p>
      <w:pPr>
        <w:spacing w:after="150"/>
      </w:pPr>
      <w:r>
        <w:t xml:space="preserve">Equipo SICMA. (2026). Documentos de requerimientos, casos de uso, clases, actividades y modelo de base de datos [Documentos académicos internos].</w:t>
      </w:r>
    </w:p>
    <w:sectPr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pgNumType/>
      <w:docGrid w:linePitch="360"/>
      <w:titlePg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Mockups · Duoc 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fbd78cb38bf6db08558758f6bfa78f77ba35c0.png"/><Relationship Id="rId8" Type="http://schemas.openxmlformats.org/officeDocument/2006/relationships/image" Target="media/b0c90bbf50fd77ea56ad491496fc039102d18a17.png"/><Relationship Id="rId9" Type="http://schemas.openxmlformats.org/officeDocument/2006/relationships/image" Target="media/798a50d2fffe1fd5b38e7a605128b428e85f08df.png"/><Relationship Id="rId10" Type="http://schemas.openxmlformats.org/officeDocument/2006/relationships/image" Target="media/e96483f49c6e2ab15b44f1082753ef9bfdbed996.png"/><Relationship Id="rId11" Type="http://schemas.openxmlformats.org/officeDocument/2006/relationships/image" Target="media/09f6c9273a4ba7fcb46f3895a51d8642f039a41e.png"/><Relationship Id="rId12" Type="http://schemas.openxmlformats.org/officeDocument/2006/relationships/image" Target="media/574b0defc58eedf42f3a2742ed3e4758d3fcf18b.png"/><Relationship Id="rId13" Type="http://schemas.openxmlformats.org/officeDocument/2006/relationships/image" Target="media/072706d04d40d1fd01d8163736067367c3f9557c.png"/><Relationship Id="rId14" Type="http://schemas.openxmlformats.org/officeDocument/2006/relationships/image" Target="media/020a92574b464fbbcbe64ac5136b0f2792164900.png"/><Relationship Id="rId15" Type="http://schemas.openxmlformats.org/officeDocument/2006/relationships/image" Target="media/e7b141055feb8f4a24c8f138474dec76ea07abe0.png"/><Relationship Id="rId16" Type="http://schemas.openxmlformats.org/officeDocument/2006/relationships/image" Target="media/ff7494d2743ce03adc56d635152792be89d49e2a.png"/><Relationship Id="rId17" Type="http://schemas.openxmlformats.org/officeDocument/2006/relationships/image" Target="media/0185333e56eec90ff5dfcde0ec7044178bc89165.png"/><Relationship Id="rId18" Type="http://schemas.openxmlformats.org/officeDocument/2006/relationships/image" Target="media/50eaad4bd92ca0996ecd7c8a31e4a463ff02d267.png"/><Relationship Id="rId19" Type="http://schemas.openxmlformats.org/officeDocument/2006/relationships/image" Target="media/54ec079212754f3a5f492fee69230aabddb3ddc5.png"/><Relationship Id="rId20" Type="http://schemas.openxmlformats.org/officeDocument/2006/relationships/image" Target="media/7d45bce78a5c53866e6046b9bd8a7e014f09c24f.png"/><Relationship Id="rId21" Type="http://schemas.openxmlformats.org/officeDocument/2006/relationships/fontTable" Target="fontTable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2026-09-12T02:47:01.437Z</dcterms:created>
  <dcterms:modified xsi:type="dcterms:W3CDTF">2026-09-12T02:47:01.438Z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