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11</w:t>
      </w:r>
    </w:p>
    <w:p>
      <w:pPr>
        <w:pStyle w:val="toc1"/>
      </w:pPr>
      <w:r>
        <w:t>Infraestructura (Zabbix)</w:t>
      </w:r>
      <w:r>
        <w:tab/>
      </w:r>
      <w:r>
        <w:t>14</w:t>
      </w:r>
    </w:p>
    <w:p>
      <w:pPr>
        <w:pStyle w:val="toc1"/>
      </w:pPr>
      <w:r>
        <w:t>Control de acceso físico</w:t>
      </w:r>
      <w:r>
        <w:tab/>
      </w:r>
      <w:r>
        <w:t>15</w:t>
      </w:r>
    </w:p>
    <w:p>
      <w:pPr>
        <w:pStyle w:val="toc1"/>
      </w:pPr>
      <w:r>
        <w:t>Intervenciones</w:t>
      </w:r>
      <w:r>
        <w:tab/>
      </w:r>
      <w:r>
        <w:t>17</w:t>
      </w:r>
    </w:p>
    <w:p>
      <w:pPr>
        <w:pStyle w:val="toc1"/>
      </w:pPr>
      <w:r>
        <w:t>Inteligencia de negocio (Power BI)</w:t>
      </w:r>
      <w:r>
        <w:tab/>
      </w:r>
      <w:r>
        <w:t>19</w:t>
      </w:r>
    </w:p>
    <w:p>
      <w:pPr>
        <w:pStyle w:val="toc1"/>
      </w:pPr>
      <w:r>
        <w:t>Plataformas (web y móvil)</w:t>
      </w:r>
      <w:r>
        <w:tab/>
      </w:r>
      <w:r>
        <w:t>20</w:t>
      </w:r>
    </w:p>
    <w:p>
      <w:pPr>
        <w:pStyle w:val="toc1"/>
      </w:pPr>
      <w:r>
        <w:t>Rendimiento y carga</w:t>
      </w:r>
      <w:r>
        <w:tab/>
      </w:r>
      <w:r>
        <w:t>21</w:t>
      </w:r>
    </w:p>
    <w:p>
      <w:pPr>
        <w:pStyle w:val="toc1"/>
      </w:pPr>
      <w:r>
        <w:t>Recuperación del clúster</w:t>
      </w:r>
      <w:r>
        <w:tab/>
      </w:r>
      <w:r>
        <w:t>22</w:t>
      </w:r>
    </w:p>
    <w:p>
      <w:pPr>
        <w:pStyle w:val="toc1"/>
      </w:pPr>
      <w:r>
        <w:t>Seguridad transversal</w:t>
      </w:r>
      <w:r>
        <w:tab/>
      </w:r>
      <w:r>
        <w:t>22</w:t>
      </w:r>
    </w:p>
    <w:p>
      <w:pPr>
        <w:pStyle w:val="toc1"/>
      </w:pPr>
      <w:r>
        <w:t>Usabilidad y estándares</w:t>
      </w:r>
      <w:r>
        <w:tab/>
      </w:r>
      <w:r>
        <w:t>23</w:t>
      </w:r>
    </w:p>
    <w:p>
      <w:pPr>
        <w:pStyle w:val="toc1"/>
      </w:pPr>
      <w:r>
        <w:t>Calidad y documentación técnica</w:t>
      </w:r>
      <w:r>
        <w:tab/>
      </w:r>
      <w:r>
        <w:t>24</w:t>
      </w:r>
    </w:p>
    <w:p>
      <w:pPr>
        <w:pStyle w:val="toc1"/>
      </w:pPr>
      <w:r>
        <w:t>Despliegue</w:t>
      </w:r>
      <w:r>
        <w:tab/>
      </w:r>
      <w:r>
        <w:t>24</w:t>
      </w:r>
    </w:p>
    <w:p>
      <w:pPr>
        <w:pStyle w:val="toc1"/>
      </w:pPr>
      <w:r>
        <w:t>Aceptación</w:t>
      </w:r>
      <w:r>
        <w:tab/>
      </w:r>
      <w:r>
        <w:t>25</w:t>
      </w:r>
    </w:p>
    <w:p>
      <w:pPr>
        <w:pStyle w:val="toc1"/>
      </w:pPr>
      <w:r>
        <w:t>Trazabilidad</w:t>
      </w:r>
      <w:r>
        <w:tab/>
      </w:r>
      <w:r>
        <w:t>25</w:t>
      </w:r>
    </w:p>
    <w:p>
      <w:pPr>
        <w:pStyle w:val="toc1"/>
      </w:pPr>
      <w:r>
        <w:t>Supuestos y pendientes</w:t>
      </w:r>
      <w:r>
        <w:tab/>
      </w:r>
      <w:r>
        <w:t>27</w:t>
      </w:r>
    </w:p>
    <w:p>
      <w:pPr>
        <w:pStyle w:val="toc1"/>
      </w:pPr>
      <w:r>
        <w:t>Glosario y referencias</w:t>
      </w:r>
      <w:r>
        <w:tab/>
      </w:r>
      <w:r>
        <w:t>29</w:t>
      </w:r>
    </w:p>
    <w:p>
      <w:pPr>
        <w:pStyle w:val="toc2"/>
      </w:pPr>
      <w:r>
        <w:t>Referencias</w:t>
      </w:r>
      <w:r>
        <w:tab/>
      </w:r>
      <w:r>
        <w:t>30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c>
          <w:tcPr>
            <w:tcW w:w="3393" w:type="dxa"/>
          </w:tcPr>
          <w:p>
            <w:pPr>
              <w:pStyle w:val="Compact"/>
              <w:jc w:val="left"/>
            </w:pPr>
            <w:r>
              <w:rPr>
                <w:sz w:val="18"/>
              </w:rPr>
              <w:t xml:space="preserve">Versión</w:t>
            </w:r>
          </w:p>
        </w:tc>
        <w:tc>
          <w:tcPr>
            <w:tcW w:w="4524" w:type="dxa"/>
          </w:tcPr>
          <w:p>
            <w:pPr>
              <w:pStyle w:val="Compact"/>
              <w:jc w:val="left"/>
            </w:pPr>
            <w:r>
              <w:rPr>
                <w:sz w:val="18"/>
              </w:rPr>
              <w:t>1.0</w:t>
            </w:r>
          </w:p>
        </w:tc>
      </w:tr>
      <w:t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Fidel Rodríguez</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 Se quita la etiqueta Vigente de la portada. Se aplica el formato de entrega (márgenes de 3 cm, interlineado 1,5, sangría y texto justificado). Se ajusta el ancho de las columnas de las tablas. Las referencias pasan a una hoja aparte.</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 xml:space="preserve">Se usa el lector del equipo con un PC conectado,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c>
          <w:tcPr>
            <w:tcW w:w="776" w:type="dxa"/>
          </w:tcPr>
          <w:p>
            <w:pPr>
              <w:pStyle w:val="Compact"/>
              <w:jc w:val="left"/>
            </w:pPr>
            <w:r>
              <w:rPr>
                <w:sz w:val="18"/>
              </w:rPr>
              <w:t xml:space="preserve">CP-ACC-01</w:t>
            </w:r>
          </w:p>
        </w:tc>
        <w:tc>
          <w:tcPr>
            <w:tcW w:w="1692" w:type="dxa"/>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tcW w:w="1658" w:type="dxa"/>
          </w:tcPr>
          <w:p>
            <w:pPr>
              <w:pStyle w:val="Compact"/>
              <w:jc w:val="left"/>
            </w:pPr>
            <w:r>
              <w:rPr>
                <w:sz w:val="18"/>
              </w:rPr>
              <w:t xml:space="preserve">1. Abrir el usuario. 2. Escribir el identificador de huella con su vigencia. 3. Guardar</w:t>
            </w:r>
          </w:p>
        </w:tc>
        <w:tc>
          <w:tcPr>
            <w:tcW w:w="1685" w:type="dxa"/>
          </w:tcPr>
          <w:p>
            <w:pPr>
              <w:pStyle w:val="Compact"/>
              <w:jc w:val="left"/>
            </w:pPr>
            <w:r>
              <w:rPr>
                <w:sz w:val="18"/>
              </w:rPr>
              <w:t xml:space="preserve">La asociación queda guardada con su vigencia y estado activo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c>
          <w:tcPr>
            <w:tcW w:w="776" w:type="dxa"/>
          </w:tcPr>
          <w:p>
            <w:pPr>
              <w:pStyle w:val="Compact"/>
              <w:jc w:val="left"/>
            </w:pPr>
            <w:r>
              <w:rPr>
                <w:sz w:val="18"/>
              </w:rPr>
              <w:t xml:space="preserve">CP-ACC-17</w:t>
            </w:r>
          </w:p>
        </w:tc>
        <w:tc>
          <w:tcPr>
            <w:tcW w:w="1692" w:type="dxa"/>
          </w:tcPr>
          <w:p>
            <w:pPr>
              <w:pStyle w:val="Compact"/>
              <w:jc w:val="left"/>
            </w:pPr>
            <w:r>
              <w:rPr>
                <w:sz w:val="18"/>
              </w:rPr>
              <w:t xml:space="preserve">Solo el Administrador asocia huellas.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c>
          <w:tcPr>
            <w:tcW w:w="792" w:type="dxa"/>
          </w:tcPr>
          <w:p>
            <w:pPr>
              <w:pStyle w:val="Compact"/>
              <w:jc w:val="left"/>
            </w:pPr>
            <w:r>
              <w:rPr>
                <w:sz w:val="18"/>
              </w:rPr>
              <w:t xml:space="preserve">CP-INT-19</w:t>
            </w:r>
          </w:p>
        </w:tc>
        <w:tc>
          <w:tcPr>
            <w:tcW w:w="1741" w:type="dxa"/>
          </w:tcPr>
          <w:p>
            <w:pPr>
              <w:pStyle w:val="Compact"/>
              <w:jc w:val="left"/>
            </w:pPr>
            <w:r>
              <w:rPr>
                <w:sz w:val="18"/>
              </w:rPr>
              <w:t xml:space="preserve">El técnico ya tiene otra intervención en ese horario</w:t>
            </w:r>
          </w:p>
        </w:tc>
        <w:tc>
          <w:tcPr>
            <w:tcW w:w="1619" w:type="dxa"/>
          </w:tcPr>
          <w:p>
            <w:pPr>
              <w:pStyle w:val="Compact"/>
              <w:jc w:val="left"/>
            </w:pPr>
            <w:r>
              <w:rPr>
                <w:sz w:val="18"/>
              </w:rPr>
              <w:t xml:space="preserve">1. Asignar al mismo técnico una segunda intervención en el mismo horario</w:t>
            </w:r>
          </w:p>
        </w:tc>
        <w:tc>
          <w:tcPr>
            <w:tcW w:w="1671" w:type="dxa"/>
          </w:tcPr>
          <w:p>
            <w:pPr>
              <w:pStyle w:val="Compact"/>
              <w:jc w:val="left"/>
            </w:pPr>
            <w:r>
              <w:rPr>
                <w:sz w:val="18"/>
              </w:rPr>
              <w:t xml:space="preserve">SICMA avisa del conflicto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CP-INT-20</w:t>
            </w:r>
          </w:p>
        </w:tc>
        <w:tc>
          <w:tcPr>
            <w:tcW w:w="1741" w:type="dxa"/>
          </w:tcPr>
          <w:p>
            <w:pPr>
              <w:pStyle w:val="Compact"/>
              <w:jc w:val="left"/>
            </w:pPr>
            <w:r>
              <w:rPr>
                <w:sz w:val="18"/>
              </w:rPr>
              <w:t xml:space="preserve">La intervención aparece en el calendario de Outlook. Intervención Asignada</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CP-INT-25</w:t>
            </w:r>
          </w:p>
        </w:tc>
        <w:tc>
          <w:tcPr>
            <w:tcW w:w="1741" w:type="dxa"/>
          </w:tcPr>
          <w:p>
            <w:pPr>
              <w:pStyle w:val="Compact"/>
              <w:jc w:val="left"/>
            </w:pPr>
            <w:r>
              <w:rPr>
                <w:sz w:val="18"/>
              </w:rPr>
              <w:t xml:space="preserve">El técnico ejecuta y cierra. Intervención Asignada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 xml:space="preserve">1. Intentar pasarla directo a En ejecución y a Cerrada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v1.0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D-57</w:t>
            </w:r>
          </w:p>
        </w:tc>
        <w:tc>
          <w:tcPr>
            <w:tcW w:w="2440" w:type="dxa"/>
          </w:tcPr>
          <w:p>
            <w:pPr>
              <w:pStyle w:val="Compact"/>
              <w:jc w:val="left"/>
            </w:pPr>
            <w:r>
              <w:rPr>
                <w:sz w:val="18"/>
              </w:rPr>
              <w:t>En SICMA-BDD v1.0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D-03</w:t>
            </w:r>
          </w:p>
        </w:tc>
        <w:tc>
          <w:tcPr>
            <w:tcW w:w="2440" w:type="dxa"/>
          </w:tcPr>
          <w:p>
            <w:pPr>
              <w:pStyle w:val="Compact"/>
              <w:jc w:val="left"/>
            </w:pPr>
            <w:r>
              <w:rPr>
                <w:sz w:val="18"/>
              </w:rPr>
              <w:t xml:space="preserve">Modelo del lector HID y cómo llegan sus mensajes a SICMA.</w:t>
            </w:r>
          </w:p>
        </w:tc>
        <w:tc>
          <w:tcPr>
            <w:tcW w:w="2228" w:type="dxa"/>
          </w:tcPr>
          <w:p>
            <w:pPr>
              <w:pStyle w:val="Compact"/>
              <w:jc w:val="left"/>
            </w:pPr>
            <w:r>
              <w:rPr>
                <w:sz w:val="18"/>
              </w:rPr>
              <w:t xml:space="preserve">Se prueba con el lector y su PC o con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v1.0</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3"/>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