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Impacto Ético, Social y Sostenibilidad</w:t>
      </w:r>
    </w:p>
    <w:p>
      <w:pPr>
        <w:spacing w:before="0" w:after="0"/>
      </w:pPr>
      <w:r>
        <w:rPr>
          <w:b/>
          <w:color w:val="002840"/>
          <w:sz w:val="26"/>
        </w:rPr>
        <w:t>SICMA-ESO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24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Alcance del análisis</w:t>
      </w:r>
      <w:r>
        <w:tab/>
      </w:r>
      <w:r>
        <w:t>3</w:t>
      </w:r>
    </w:p>
    <w:p>
      <w:pPr>
        <w:pStyle w:val="toc1"/>
      </w:pPr>
      <w:r>
        <w:t>Impacto ético</w:t>
      </w:r>
      <w:r>
        <w:tab/>
      </w:r>
      <w:r>
        <w:t>4</w:t>
      </w:r>
    </w:p>
    <w:p>
      <w:pPr>
        <w:pStyle w:val="toc2"/>
      </w:pPr>
      <w:r>
        <w:t>Datos personales</w:t>
      </w:r>
      <w:r>
        <w:tab/>
      </w:r>
      <w:r>
        <w:t>4</w:t>
      </w:r>
    </w:p>
    <w:p>
      <w:pPr>
        <w:pStyle w:val="toc2"/>
      </w:pPr>
      <w:r>
        <w:t>Uso del registro de accesos e intervenciones</w:t>
      </w:r>
      <w:r>
        <w:tab/>
      </w:r>
      <w:r>
        <w:t>4</w:t>
      </w:r>
    </w:p>
    <w:p>
      <w:pPr>
        <w:pStyle w:val="toc2"/>
      </w:pPr>
      <w:r>
        <w:t>Decisiones sobre personas</w:t>
      </w:r>
      <w:r>
        <w:tab/>
      </w:r>
      <w:r>
        <w:t>4</w:t>
      </w:r>
    </w:p>
    <w:p>
      <w:pPr>
        <w:pStyle w:val="toc2"/>
      </w:pPr>
      <w:r>
        <w:t>Seguridad como deber ético</w:t>
      </w:r>
      <w:r>
        <w:tab/>
      </w:r>
      <w:r>
        <w:t>5</w:t>
      </w:r>
    </w:p>
    <w:p>
      <w:pPr>
        <w:pStyle w:val="toc1"/>
      </w:pPr>
      <w:r>
        <w:t>Impacto social</w:t>
      </w:r>
      <w:r>
        <w:tab/>
      </w:r>
      <w:r>
        <w:t>5</w:t>
      </w:r>
    </w:p>
    <w:p>
      <w:pPr>
        <w:pStyle w:val="toc2"/>
      </w:pPr>
      <w:r>
        <w:t>Usuarios y condiciones de trabajo</w:t>
      </w:r>
      <w:r>
        <w:tab/>
      </w:r>
      <w:r>
        <w:t>5</w:t>
      </w:r>
    </w:p>
    <w:p>
      <w:pPr>
        <w:pStyle w:val="toc2"/>
      </w:pPr>
      <w:r>
        <w:t>Accesibilidad e inclusión</w:t>
      </w:r>
      <w:r>
        <w:tab/>
      </w:r>
      <w:r>
        <w:t>5</w:t>
      </w:r>
    </w:p>
    <w:p>
      <w:pPr>
        <w:pStyle w:val="toc2"/>
      </w:pPr>
      <w:r>
        <w:t>Transparencia</w:t>
      </w:r>
      <w:r>
        <w:tab/>
      </w:r>
      <w:r>
        <w:t>5</w:t>
      </w:r>
    </w:p>
    <w:p>
      <w:pPr>
        <w:pStyle w:val="toc1"/>
      </w:pPr>
      <w:r>
        <w:t>Sostenibilidad</w:t>
      </w:r>
      <w:r>
        <w:tab/>
      </w:r>
      <w:r>
        <w:t>6</w:t>
      </w:r>
    </w:p>
    <w:p>
      <w:pPr>
        <w:pStyle w:val="toc2"/>
      </w:pPr>
      <w:r>
        <w:t>Contexto</w:t>
      </w:r>
      <w:r>
        <w:tab/>
      </w:r>
      <w:r>
        <w:t>6</w:t>
      </w:r>
    </w:p>
    <w:p>
      <w:pPr>
        <w:pStyle w:val="toc2"/>
      </w:pPr>
      <w:r>
        <w:t>Aporte de SICMA</w:t>
      </w:r>
      <w:r>
        <w:tab/>
      </w:r>
      <w:r>
        <w:t>6</w:t>
      </w:r>
    </w:p>
    <w:p>
      <w:pPr>
        <w:pStyle w:val="toc2"/>
      </w:pPr>
      <w:r>
        <w:t>Costo ambiental de SICMA</w:t>
      </w:r>
      <w:r>
        <w:tab/>
      </w:r>
      <w:r>
        <w:t>6</w:t>
      </w:r>
    </w:p>
    <w:p>
      <w:pPr>
        <w:pStyle w:val="toc1"/>
      </w:pPr>
      <w:r>
        <w:t>Riesgos éticos y medidas</w:t>
      </w:r>
      <w:r>
        <w:tab/>
      </w:r>
      <w:r>
        <w:t>6</w:t>
      </w:r>
    </w:p>
    <w:p>
      <w:pPr>
        <w:pStyle w:val="toc1"/>
      </w:pPr>
      <w:r>
        <w:t>Indicadores propuestos</w:t>
      </w:r>
      <w:r>
        <w:tab/>
      </w:r>
      <w:r>
        <w:t>7</w:t>
      </w:r>
    </w:p>
    <w:p>
      <w:pPr>
        <w:pStyle w:val="toc1"/>
      </w:pPr>
      <w:r>
        <w:t>Supuestos y pendientes</w:t>
      </w:r>
      <w:r>
        <w:tab/>
      </w:r>
      <w:r>
        <w:t>7</w:t>
      </w:r>
    </w:p>
    <w:p>
      <w:pPr>
        <w:pStyle w:val="toc1"/>
      </w:pPr>
      <w:r>
        <w:t>Glosario</w:t>
      </w:r>
      <w:r>
        <w:tab/>
      </w:r>
      <w:r>
        <w:t>7</w:t>
      </w:r>
    </w:p>
    <w:p>
      <w:pPr>
        <w:pStyle w:val="toc1"/>
      </w:pPr>
      <w:r>
        <w:t>Referencias</w:t>
      </w:r>
      <w:r>
        <w:tab/>
      </w:r>
      <w:r>
        <w:t>8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Versión vigente 1.0 del documento SICMA-ESO.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94"/>
        <w:gridCol w:w="4525"/>
      </w:tblGrid>
      <w:tr>
        <w:trPr>
          <w:tblHeader w:val="true"/>
          <w:cantSplit/>
        </w:trPr>
        <w:tc>
          <w:tcPr>
            <w:tcW w:w="339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2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SICMA-ESO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Vigente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2026-10-24</w:t>
            </w:r>
          </w:p>
        </w:tc>
      </w:tr>
      <w:tr>
        <w:trPr>
          <w:cantSplit/>
        </w:trPr>
        <w:tc>
          <w:tcPr>
            <w:tcW w:w="33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5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SICMA-PRY v1.1 (alcance y riesgos), SICMA-REQ v1.0 (requerimientos de seguridad, legales y de usabilidad), SICMA-BDD v1.0 (datos que se guardan) y SICMA-CPR v1.0 (casos de prueba de seguridad y usabilidad)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2026-10-24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Primera versión: análisis del impacto ético, social y de sostenibilidad de SICMA, con riesgos, medidas e indicadores.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analiza qué efectos puede tener SICMA sobre las personas que lo usan, sobre la sociedad y sobre el ambiente, y qué medidas toma el proyecto para cuidarlos. Responde al mínimo del proyecto de título sobre impacto ético y social y sostenibilidad.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SICMA es un prototipo que monitorea activos y condiciones de un datacenter simulado. No usa inteligencia artificial ni toma decisiones automáticas sobre personas: las alertas salen de umbrales que define el Administrador y las intervenciones las aprueba la Jefatura. Por eso el tema de algoritmos justos y sesgos no aplica de forma directa. Los temas que sí importan son tres: los datos personales de quienes usan el sistema, el uso que se le da al registro de accesos y de intervenciones, y el consumo de recursos de la solución y de lo que monitorea.</w:t>
      </w:r>
    </w:p>
    <w:bookmarkEnd w:id="21"/>
    <w:bookmarkStart w:id="22" w:name="alcance-del-análisis"/>
    <w:p>
      <w:pPr>
        <w:pStyle w:val="Heading2"/>
      </w:pPr>
      <w:r>
        <w:t xml:space="preserve">Alcance del análisis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análisis cubre el prototipo descrito en SICMA-REQ: identidad y roles, inventario de activos, monitoreo ambiental, estado de servidores, registro de accesos físicos, intervenciones y datos para dashboards. No cubre una puesta en producción en un datacenter real, que está fuera del alcance del plan (SICMA-PRY).</w:t>
      </w:r>
    </w:p>
    <w:bookmarkEnd w:id="22"/>
    <w:bookmarkStart w:id="27" w:name="impacto-ético"/>
    <w:p>
      <w:pPr>
        <w:pStyle w:val="Heading2"/>
      </w:pPr>
      <w:r>
        <w:t xml:space="preserve">Impacto ético</w:t>
      </w:r>
    </w:p>
    <w:bookmarkStart w:id="23" w:name="datos-personales"/>
    <w:p>
      <w:pPr>
        <w:pStyle w:val="Heading3"/>
      </w:pPr>
      <w:r>
        <w:t xml:space="preserve">Datos personales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guarda datos de las personas que lo usan: cuenta de usuario con correo y rol, registro de cada intento de acceso físico (usuario, fecha, resultado y lector) y los participantes de cada intervención (quien solicita, quien aprueba, el técnico asignado y quien cierra). El tratamiento de estos datos debe cumplir la Ley 19.628 y no se almacenan huellas ni plantillas biométricas (RNF-LEG-01 y RF-ACC-01 de SICMA-REQ).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Ley 21.719 reemplaza el régimen de la Ley 19.628 y crea la Agencia de Protección de Datos Personales. Según el resumen de la Academia Judicial, entra en vigencia el 1 de diciembre de 2026 [8], doce días antes del cierre del proyecto. Por eso SICMA-REQ mantiene abierta su verificación (D-09 de SICMA-REQ) y este documento propone revisar los datos guardados contra la nueva ley antes de la entrega final (D-01).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Medidas del proyecto:</w:t>
      </w:r>
    </w:p>
    <w:p>
      <w:pPr>
        <w:numPr>
          <w:ilvl w:val="0"/>
          <w:numId w:val="1001"/>
        </w:numPr>
        <w:pStyle w:val="Compact"/>
      </w:pPr>
      <w:r>
        <w:t xml:space="preserve">Se guardan solo los datos necesarios. El caso CP-SEG-10 de SICMA-CPR revisa la lista de datos personales almacenados.</w:t>
      </w:r>
    </w:p>
    <w:p>
      <w:pPr>
        <w:numPr>
          <w:ilvl w:val="0"/>
          <w:numId w:val="1001"/>
        </w:numPr>
        <w:pStyle w:val="Compact"/>
      </w:pPr>
      <w:r>
        <w:t xml:space="preserve">SICMA registra el resultado de cada intento de acceso y no almacena huellas ni plantillas (RF-ACC-01 y CA-05 de SICMA-REQ).</w:t>
      </w:r>
    </w:p>
    <w:p>
      <w:pPr>
        <w:numPr>
          <w:ilvl w:val="0"/>
          <w:numId w:val="1001"/>
        </w:numPr>
        <w:pStyle w:val="Compact"/>
      </w:pPr>
      <w:r>
        <w:t xml:space="preserve">Los datos de prueba son simulados. El prototipo no usa datos reales del cliente.</w:t>
      </w:r>
    </w:p>
    <w:p>
      <w:pPr>
        <w:numPr>
          <w:ilvl w:val="0"/>
          <w:numId w:val="1001"/>
        </w:numPr>
        <w:pStyle w:val="Compact"/>
      </w:pPr>
      <w:r>
        <w:t xml:space="preserve">Los secretos y las claves no se suben al repositorio (CA-05).</w:t>
      </w:r>
    </w:p>
    <w:bookmarkEnd w:id="23"/>
    <w:bookmarkStart w:id="24" w:name="X28ff88f6a384e13c06dd8ecfee7cc763971965a"/>
    <w:p>
      <w:pPr>
        <w:pStyle w:val="Heading3"/>
      </w:pPr>
      <w:r>
        <w:t xml:space="preserve">Uso del registro de accesos e intervenciones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registro de accesos y el historial de intervenciones sirven para dar trazabilidad y seguridad. También podrían usarse, sin que nadie lo decida de forma explícita, para vigilar o evaluar el desempeño de las personas. Para evitarlo, el proyecto propone que estos registros se usen solo para auditoría, investigación de incidentes y mejora del proceso, y que cualquier otro uso lo acuerde el cliente con las personas afectadas (D-02). El Auditor consulta y filtra el registro de accesos (RF-ACC-03 de SICMA-REQ).</w:t>
      </w:r>
    </w:p>
    <w:bookmarkEnd w:id="24"/>
    <w:bookmarkStart w:id="25" w:name="decisiones-sobre-personas"/>
    <w:p>
      <w:pPr>
        <w:pStyle w:val="Heading3"/>
      </w:pPr>
      <w:r>
        <w:t xml:space="preserve">Decisiones sobre personas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no decide por las personas. La aprobación de una intervención la toma la Jefatura en Teams y la asignación del técnico la hace el Administrador, de modo que siempre hay una persona responsable de la decisión. Las alertas de temperatura y humedad provienen de umbrales fijos, no de modelos que aprendan o puedan sesgarse.</w:t>
      </w:r>
    </w:p>
    <w:bookmarkEnd w:id="25"/>
    <w:bookmarkStart w:id="26" w:name="seguridad-como-deber-ético"/>
    <w:p>
      <w:pPr>
        <w:pStyle w:val="Heading3"/>
      </w:pPr>
      <w:r>
        <w:t xml:space="preserve">Seguridad como deber ético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Proteger la información de accesos, activos y comunicaciones con los sensores es parte de la responsabilidad del equipo (objetivo OE-06 de SICMA-PRY). SICMA-REQ exige tokens JWT, bloqueo de cuenta tras intentos fallidos, política de contraseñas, TLS, contraseñas con hash y verificación de autorización por rol en cada endpoint (RNF-SEG-01 a RNF-SEG-09). Algunos de estos controles siguen pendientes de implementar según el estado de avance del proyecto, y el caso CP-SEG-07 prueba el control de acceso roto del OWASP Top 10 [11].</w:t>
      </w:r>
    </w:p>
    <w:bookmarkEnd w:id="26"/>
    <w:bookmarkEnd w:id="27"/>
    <w:bookmarkStart w:id="31" w:name="impacto-social"/>
    <w:p>
      <w:pPr>
        <w:pStyle w:val="Heading2"/>
      </w:pPr>
      <w:r>
        <w:t xml:space="preserve">Impacto social</w:t>
      </w:r>
    </w:p>
    <w:bookmarkStart w:id="28" w:name="usuarios-y-condiciones-de-trabajo"/>
    <w:p>
      <w:pPr>
        <w:pStyle w:val="Heading3"/>
      </w:pPr>
      <w:r>
        <w:t xml:space="preserve">Usuarios y condiciones de trabajo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usuarios son personal de TI del cliente: Administrador, Jefatura, Técnico y Auditor. Los beneficios esperados para ellos, que el proyecto debe medir en las pruebas y no da por seguros, son reemplazar el acceso en papel por un registro automático, enterarse de una condición fuera de rango por correo sin revisar la sala en persona, y tener claro quién aprobó y quién ejecutó cada intervención.</w:t>
      </w:r>
    </w:p>
    <w:bookmarkEnd w:id="28"/>
    <w:bookmarkStart w:id="29" w:name="accesibilidad-e-inclusión"/>
    <w:p>
      <w:pPr>
        <w:pStyle w:val="Heading3"/>
      </w:pPr>
      <w:r>
        <w:t xml:space="preserve">Accesibilidad e inclusión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interfaz debe cumplir WCAG 2.2 y evaluarse con la escala SUS (RNF-USO-02 de SICMA-REQ). El nivel exacto queda por definir; el plan propone AA (D-12 de SICMA-REQ) [10]. SICMA-CPR incluye una revisión de accesibilidad de las pantallas principales (CP-USO-04) y una encuesta SUS a al menos cinco usuarios (CP-USO-03).</w:t>
      </w:r>
    </w:p>
    <w:bookmarkEnd w:id="29"/>
    <w:bookmarkStart w:id="30" w:name="transparencia"/>
    <w:p>
      <w:pPr>
        <w:pStyle w:val="Heading3"/>
      </w:pPr>
      <w:r>
        <w:t xml:space="preserve">Transparencia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activo conserva su historial y cada intervención su secuencia de estados. Las clases con historial se desactivan, no se borran (RN-02 de SICMA-REQ), de modo que lo ocurrido se puede reconstruir.</w:t>
      </w:r>
    </w:p>
    <w:bookmarkEnd w:id="30"/>
    <w:bookmarkEnd w:id="31"/>
    <w:bookmarkStart w:id="35" w:name="sostenibilidad"/>
    <w:p>
      <w:pPr>
        <w:pStyle w:val="Heading2"/>
      </w:pPr>
      <w:r>
        <w:t xml:space="preserve">Sostenibilidad</w:t>
      </w:r>
    </w:p>
    <w:bookmarkStart w:id="32" w:name="contexto"/>
    <w:p>
      <w:pPr>
        <w:pStyle w:val="Heading3"/>
      </w:pPr>
      <w:r>
        <w:t xml:space="preserve">Contexto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centros de datos consumieron unos 415 TWh en 2024, cerca del 1,5 % de la electricidad mundial, y la Agencia Internacional de Energía proyecta unos 945 TWh para 2030 [6]. En ese contexto, operar con eficiencia y evitar fallas por temperatura es un tema de sostenibilidad además de continuidad.</w:t>
      </w:r>
    </w:p>
    <w:bookmarkEnd w:id="32"/>
    <w:bookmarkStart w:id="33" w:name="aporte-de-sicma"/>
    <w:p>
      <w:pPr>
        <w:pStyle w:val="Heading3"/>
      </w:pPr>
      <w:r>
        <w:t xml:space="preserve">Aporte de SICMA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Operar dentro del rango recomendado.</w:t>
      </w:r>
      <w:r>
        <w:t xml:space="preserve"> </w:t>
      </w:r>
      <w:r>
        <w:t xml:space="preserve">Las lecturas por zona permiten ver si la sala está dentro del rango de 18 a 27 °C que ASHRAE recomienda para las clases A1 a A4 [7]. Con esa información se pueden evitar tanto los puntos calientes como el sobreenfriamiento. SICMA muestra los datos; no controla la climatización, que está fuera de su alcance.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Hardware de bajo costo.</w:t>
      </w:r>
      <w:r>
        <w:t xml:space="preserve"> </w:t>
      </w:r>
      <w:r>
        <w:t xml:space="preserve">El monitoreo ambiental usa un microcontrolador ESP32-S3 y un sensor DHT22 por zona. El consumo eléctrico de estos dispositivos no se ha medido en el proyecto.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Ciclo de vida de los equipos.</w:t>
      </w:r>
      <w:r>
        <w:t xml:space="preserve"> </w:t>
      </w:r>
      <w:r>
        <w:t xml:space="preserve">El inventario registra el estado de cada activo y su baja, con historial. En Chile, los aparatos eléctricos y electrónicos son un producto prioritario de la Ley 20.920 de responsabilidad extendida del productor [9]. SICMA ayuda a saber qué equipos se dieron de baja, pero no gestiona el retiro ni el reciclaje.</w:t>
      </w:r>
    </w:p>
    <w:bookmarkEnd w:id="33"/>
    <w:bookmarkStart w:id="34" w:name="costo-ambiental-de-sicma"/>
    <w:p>
      <w:pPr>
        <w:pStyle w:val="Heading3"/>
      </w:pPr>
      <w:r>
        <w:t xml:space="preserve">Costo ambiental de SICMA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Servidores propios.</w:t>
      </w:r>
      <w:r>
        <w:t xml:space="preserve"> </w:t>
      </w:r>
      <w:r>
        <w:t xml:space="preserve">El backend y la base de datos deben estar on-premise y la base corre en un clúster de tres nodos (RNF-DES-01 y RNF-DIS-01 de SICMA-REQ). La redundancia mejora la disponibilidad, pero usa más equipos y energía que un solo servidor. No se ha medido el consumo.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Crecimiento de los datos.</w:t>
      </w:r>
      <w:r>
        <w:t xml:space="preserve"> </w:t>
      </w:r>
      <w:r>
        <w:t xml:space="preserve">Una tabla de lecturas puede llegar a 43.200 registros por sensor al día, y por ahora se guardan todos (D-17 de SICMA-BDD). Definir cuánto se conservan y si se resumen reduce el almacenamiento y el consumo asociado (D-03).</w:t>
      </w:r>
    </w:p>
    <w:bookmarkEnd w:id="34"/>
    <w:bookmarkEnd w:id="35"/>
    <w:bookmarkStart w:id="36" w:name="riesgos-éticos-y-medidas"/>
    <w:p>
      <w:pPr>
        <w:pStyle w:val="Heading2"/>
      </w:pPr>
      <w:r>
        <w:t xml:space="preserve">Riesgos éticos y medidas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26"/>
        <w:gridCol w:w="3119"/>
        <w:gridCol w:w="2174"/>
      </w:tblGrid>
      <w:tr>
        <w:trPr>
          <w:tblHeader w:val="true"/>
          <w:cantSplit/>
        </w:trPr>
        <w:tc>
          <w:tcPr>
            <w:tcW w:w="26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Riesgo</w:t>
            </w:r>
          </w:p>
        </w:tc>
        <w:tc>
          <w:tcPr>
            <w:tcW w:w="311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Medida</w:t>
            </w:r>
          </w:p>
        </w:tc>
        <w:tc>
          <w:tcPr>
            <w:tcW w:w="217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del registro de accesos para vigilar personas</w:t>
            </w:r>
          </w:p>
        </w:tc>
        <w:tc>
          <w:tcPr>
            <w:tcW w:w="3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acotado a auditoría e incidentes, acordado con el cliente (D-02); rol Auditor que consulta y filtra</w:t>
            </w:r>
          </w:p>
        </w:tc>
        <w:tc>
          <w:tcPr>
            <w:tcW w:w="21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del acuerdo; permisos por rol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Acceso indebido a datos personales</w:t>
            </w:r>
          </w:p>
        </w:tc>
        <w:tc>
          <w:tcPr>
            <w:tcW w:w="3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Permisos por rol en cada endpoint y cuentas con bloqueo tras intentos fallidos</w:t>
            </w:r>
          </w:p>
        </w:tc>
        <w:tc>
          <w:tcPr>
            <w:tcW w:w="21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CP-SEG-07 de SICMA-CPR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Almacenamiento innecesario de datos personales</w:t>
            </w:r>
          </w:p>
        </w:tc>
        <w:tc>
          <w:tcPr>
            <w:tcW w:w="3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Guardar solo lo necesario y ninguna huella</w:t>
            </w:r>
          </w:p>
        </w:tc>
        <w:tc>
          <w:tcPr>
            <w:tcW w:w="21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CP-SEG-10 y CA-05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Conservación sin plazo de los registros</w:t>
            </w:r>
          </w:p>
        </w:tc>
        <w:tc>
          <w:tcPr>
            <w:tcW w:w="3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Definir plazos de retención y revisar contra la Ley 21.719</w:t>
            </w:r>
          </w:p>
        </w:tc>
        <w:tc>
          <w:tcPr>
            <w:tcW w:w="21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 y D-09 de SICMA-REQ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 que no llegan o falsos avisos</w:t>
            </w:r>
          </w:p>
        </w:tc>
        <w:tc>
          <w:tcPr>
            <w:tcW w:w="3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Umbrales definidos por zona y revisados con el cliente; caída de Zabbix o de un sensor informada sin detener el sistema</w:t>
            </w:r>
          </w:p>
        </w:tc>
        <w:tc>
          <w:tcPr>
            <w:tcW w:w="21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CA-03 de SICMA-REQ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Interfaz que excluye a personas</w:t>
            </w:r>
          </w:p>
        </w:tc>
        <w:tc>
          <w:tcPr>
            <w:tcW w:w="3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WCAG 2.2 y evaluación con la escala SUS</w:t>
            </w:r>
          </w:p>
        </w:tc>
        <w:tc>
          <w:tcPr>
            <w:tcW w:w="21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CP-USO-03 y CP-USO-04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de datos reales en pruebas y demostraciones</w:t>
            </w:r>
          </w:p>
        </w:tc>
        <w:tc>
          <w:tcPr>
            <w:tcW w:w="3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simulados; no se suben datos reales ni claves al repositorio</w:t>
            </w:r>
          </w:p>
        </w:tc>
        <w:tc>
          <w:tcPr>
            <w:tcW w:w="21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del repositorio (CA-05)</w:t>
            </w:r>
          </w:p>
        </w:tc>
      </w:tr>
    </w:tbl>
    <w:bookmarkEnd w:id="36"/>
    <w:bookmarkStart w:id="37" w:name="indicadores-propuestos"/>
    <w:p>
      <w:pPr>
        <w:pStyle w:val="Heading2"/>
      </w:pPr>
      <w:r>
        <w:t xml:space="preserve">Indicadores propuestos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05"/>
        <w:gridCol w:w="2468"/>
        <w:gridCol w:w="1945"/>
      </w:tblGrid>
      <w:tr>
        <w:trPr>
          <w:tblHeader w:val="true"/>
          <w:cantSplit/>
        </w:trPr>
        <w:tc>
          <w:tcPr>
            <w:tcW w:w="350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Indicador</w:t>
            </w:r>
          </w:p>
        </w:tc>
        <w:tc>
          <w:tcPr>
            <w:tcW w:w="24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Meta</w:t>
            </w:r>
          </w:p>
        </w:tc>
        <w:tc>
          <w:tcPr>
            <w:tcW w:w="19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 mide en</w:t>
            </w:r>
          </w:p>
        </w:tc>
      </w:tr>
      <w:tr>
        <w:trPr>
          <w:cantSplit/>
        </w:trPr>
        <w:tc>
          <w:tcPr>
            <w:tcW w:w="35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Huellas o plantillas almacenadas</w:t>
            </w:r>
          </w:p>
        </w:tc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CA-05</w:t>
            </w:r>
          </w:p>
        </w:tc>
      </w:tr>
      <w:tr>
        <w:trPr>
          <w:cantSplit/>
        </w:trPr>
        <w:tc>
          <w:tcPr>
            <w:tcW w:w="35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personales almacenados que no son necesarios</w:t>
            </w:r>
          </w:p>
        </w:tc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CP-SEG-10</w:t>
            </w:r>
          </w:p>
        </w:tc>
      </w:tr>
      <w:tr>
        <w:trPr>
          <w:cantSplit/>
        </w:trPr>
        <w:tc>
          <w:tcPr>
            <w:tcW w:w="35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Errores graves de accesibilidad en las pantallas principales</w:t>
            </w:r>
          </w:p>
        </w:tc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 al nivel que se defina (D-12 de SICMA-REQ)</w:t>
            </w:r>
          </w:p>
        </w:tc>
        <w:tc>
          <w:tcPr>
            <w:tcW w:w="1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CP-USO-04</w:t>
            </w:r>
          </w:p>
        </w:tc>
      </w:tr>
      <w:tr>
        <w:trPr>
          <w:cantSplit/>
        </w:trPr>
        <w:tc>
          <w:tcPr>
            <w:tcW w:w="35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Puntaje de la escala SUS</w:t>
            </w:r>
          </w:p>
        </w:tc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68 o más (meta de SICMA-CPR)</w:t>
            </w:r>
          </w:p>
        </w:tc>
        <w:tc>
          <w:tcPr>
            <w:tcW w:w="1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CP-USO-03</w:t>
            </w:r>
          </w:p>
        </w:tc>
      </w:tr>
      <w:tr>
        <w:trPr>
          <w:cantSplit/>
        </w:trPr>
        <w:tc>
          <w:tcPr>
            <w:tcW w:w="35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Plazo de retención definido para accesos y lecturas</w:t>
            </w:r>
          </w:p>
        </w:tc>
        <w:tc>
          <w:tcPr>
            <w:tcW w:w="24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Definido y documentado</w:t>
            </w:r>
          </w:p>
        </w:tc>
        <w:tc>
          <w:tcPr>
            <w:tcW w:w="1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 y D-03</w:t>
            </w:r>
          </w:p>
        </w:tc>
      </w:tr>
    </w:tbl>
    <w:bookmarkEnd w:id="37"/>
    <w:bookmarkStart w:id="38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54"/>
        <w:gridCol w:w="2025"/>
        <w:gridCol w:w="3350"/>
        <w:gridCol w:w="1389"/>
      </w:tblGrid>
      <w:tr>
        <w:trPr>
          <w:tblHeader w:val="true"/>
          <w:cantSplit/>
        </w:trPr>
        <w:tc>
          <w:tcPr>
            <w:tcW w:w="11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02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tcW w:w="335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tcW w:w="138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1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2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Ley 21.719 y retención</w:t>
            </w:r>
          </w:p>
        </w:tc>
        <w:tc>
          <w:tcPr>
            <w:tcW w:w="33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los datos guardados contra la nueva ley, vigente desde el 1 de diciembre de 2026, y fijar plazos de retención de los registros personales</w:t>
            </w:r>
          </w:p>
        </w:tc>
        <w:tc>
          <w:tcPr>
            <w:tcW w:w="13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2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de los registros</w:t>
            </w:r>
          </w:p>
        </w:tc>
        <w:tc>
          <w:tcPr>
            <w:tcW w:w="33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Acordar con el cliente que los registros de accesos e intervenciones se usan para auditoría y no para evaluar desempeño</w:t>
            </w:r>
          </w:p>
        </w:tc>
        <w:tc>
          <w:tcPr>
            <w:tcW w:w="13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2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Retención de lecturas y consumo</w:t>
            </w:r>
          </w:p>
        </w:tc>
        <w:tc>
          <w:tcPr>
            <w:tcW w:w="33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Definir cuánto se conservan las lecturas; medir el consumo del prototipo solo si el docente lo pide</w:t>
            </w:r>
          </w:p>
        </w:tc>
        <w:tc>
          <w:tcPr>
            <w:tcW w:w="13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20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Alcance del análisis</w:t>
            </w:r>
          </w:p>
        </w:tc>
        <w:tc>
          <w:tcPr>
            <w:tcW w:w="33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análisis se hace sobre el prototipo con datos simulados, sin evaluar un uso en producción</w:t>
            </w:r>
          </w:p>
        </w:tc>
        <w:tc>
          <w:tcPr>
            <w:tcW w:w="138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Aceptado</w:t>
            </w:r>
          </w:p>
        </w:tc>
      </w:tr>
    </w:tbl>
    <w:bookmarkEnd w:id="38"/>
    <w:bookmarkStart w:id="39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46"/>
        <w:gridCol w:w="5373"/>
      </w:tblGrid>
      <w:tr>
        <w:trPr>
          <w:tblHeader w:val="true"/>
          <w:cantSplit/>
        </w:trPr>
        <w:tc>
          <w:tcPr>
            <w:tcW w:w="254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37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personales</w:t>
            </w:r>
          </w:p>
        </w:tc>
        <w:tc>
          <w:tcPr>
            <w:tcW w:w="53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Información que identifica o permite identificar a una persona</w:t>
            </w:r>
          </w:p>
        </w:tc>
      </w:tr>
      <w:tr>
        <w:trPr>
          <w:cantSplit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biométricos</w:t>
            </w:r>
          </w:p>
        </w:tc>
        <w:tc>
          <w:tcPr>
            <w:tcW w:w="53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Rasgos físicos usados para identificar a una persona, como la huella</w:t>
            </w:r>
          </w:p>
        </w:tc>
      </w:tr>
      <w:tr>
        <w:trPr>
          <w:cantSplit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Trazabilidad</w:t>
            </w:r>
          </w:p>
        </w:tc>
        <w:tc>
          <w:tcPr>
            <w:tcW w:w="53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Posibilidad de reconstruir quién hizo qué y cuándo</w:t>
            </w:r>
          </w:p>
        </w:tc>
      </w:tr>
      <w:tr>
        <w:trPr>
          <w:cantSplit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Sostenibilidad</w:t>
            </w:r>
          </w:p>
        </w:tc>
        <w:tc>
          <w:tcPr>
            <w:tcW w:w="53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de recursos que cuida el ambiente, la economía y a las personas en el largo plazo</w:t>
            </w:r>
          </w:p>
        </w:tc>
      </w:tr>
      <w:tr>
        <w:trPr>
          <w:cantSplit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TWh</w:t>
            </w:r>
          </w:p>
        </w:tc>
        <w:tc>
          <w:tcPr>
            <w:tcW w:w="53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Terawatt hora, mil millones de kilowatt hora</w:t>
            </w:r>
          </w:p>
        </w:tc>
      </w:tr>
      <w:tr>
        <w:trPr>
          <w:cantSplit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</w:t>
            </w:r>
          </w:p>
        </w:tc>
        <w:tc>
          <w:tcPr>
            <w:tcW w:w="53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Responsabilidad extendida del productor sobre los residuos de sus productos</w:t>
            </w:r>
          </w:p>
        </w:tc>
      </w:tr>
      <w:tr>
        <w:trPr>
          <w:cantSplit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SUS</w:t>
            </w:r>
          </w:p>
        </w:tc>
        <w:tc>
          <w:tcPr>
            <w:tcW w:w="53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Escala de usabilidad del sistema (System Usability Scale)</w:t>
            </w:r>
          </w:p>
        </w:tc>
      </w:tr>
      <w:tr>
        <w:trPr>
          <w:cantSplit/>
        </w:trPr>
        <w:tc>
          <w:tcPr>
            <w:tcW w:w="254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WCAG</w:t>
            </w:r>
          </w:p>
        </w:tc>
        <w:tc>
          <w:tcPr>
            <w:tcW w:w="53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Pautas de accesibilidad para el contenido web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SICMA-BDD v1.0. Modelo de Base de Datos.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SICMA-CPR v1.0. Casos de Prueba.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SICMA-PRY v1.1. Plan del Proyecto. Equipo SICMA, 2026-10-24.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[6] International Energy Agency. (2025). Energy and AI, resumen ejecutivo. https://www.iea.org/reports/energy-and-ai/executive-summary</w:t>
      </w:r>
    </w:p>
    <w:p>
      <w:pPr>
        <w:pStyle w:val="Compact"/>
        <w:spacing w:after="60"/>
        <w:ind w:left="510" w:hanging="510"/>
      </w:pPr>
      <w:r>
        <w:rPr>
          <w:b w:val="0"/>
        </w:rPr>
        <w:t>[7] ASHRAE. Thermal Guidelines for Data Processing Environments, 5.ª edición, tarjeta de referencia. https://www.ashrae.org/file%20library/technical%20resources/bookstore/supplemental%20files/therm-gdlns-5th-r-e-refcard.pdf</w:t>
      </w:r>
    </w:p>
    <w:p>
      <w:pPr>
        <w:pStyle w:val="Compact"/>
        <w:spacing w:after="60"/>
        <w:ind w:left="510" w:hanging="510"/>
      </w:pPr>
      <w:r>
        <w:rPr>
          <w:b w:val="0"/>
        </w:rPr>
        <w:t>[8] Academia Judicial de Chile. Ley 21.719 que regula la protección y el tratamiento de los datos personales y crea la Agencia de Protección de Datos Personales. https://academiajudicial.cl/recursos/actualizaciones-normativas/ley-21-719-que-regula-la-proteccion-y-el-tratamiento-de-los-datos-personales-y-crea-la-agencia-de-proteccion-de-datos-personales/</w:t>
      </w:r>
    </w:p>
    <w:p>
      <w:pPr>
        <w:pStyle w:val="Compact"/>
        <w:spacing w:after="60"/>
        <w:ind w:left="510" w:hanging="510"/>
      </w:pPr>
      <w:r>
        <w:rPr>
          <w:b w:val="0"/>
        </w:rPr>
        <w:t>[9] Ministerio del Medio Ambiente de Chile. Infografía Ley REP (Ley 20.920). https://economiacircular.mma.gob.cl/wp-content/uploads/2025/06/Infografia-Ley-REP.pdf</w:t>
      </w:r>
    </w:p>
    <w:p>
      <w:pPr>
        <w:pStyle w:val="Compact"/>
        <w:spacing w:after="60"/>
        <w:ind w:left="510" w:hanging="510"/>
      </w:pPr>
      <w:r>
        <w:rPr>
          <w:b w:val="0"/>
        </w:rPr>
        <w:t>[10] W3C. (2023). Web Content Accessibility Guidelines (WCAG) 2.2. W3C Recommendation. https://www.w3.org/TR/WCAG22/</w:t>
      </w:r>
    </w:p>
    <w:p>
      <w:pPr>
        <w:pStyle w:val="Compact"/>
        <w:spacing w:after="60"/>
        <w:ind w:left="510" w:hanging="510"/>
      </w:pPr>
      <w:r>
        <w:rPr>
          <w:b w:val="0"/>
        </w:rPr>
        <w:t>[11] OWASP Foundation. (2021). OWASP Top 10:2021. https://owasp.org/Top10/</w:t>
      </w:r>
    </w:p>
    <w:bookmarkEnd w:id="39"/>
    <w:sectPr>
      <w:footerReference w:type="default" r:id="rId9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SICMA-ESO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Impacto Ético, Social y Sostenibilidad</dc:title>
  <dc:creator/>
  <cp:keywords/>
  <dcterms:created xsi:type="dcterms:W3CDTF">2026-10-24T14:11:18Z</dcterms:created>
  <dcterms:modified xsi:type="dcterms:W3CDTF">2026-10-24T14:11:18Z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2026-10-24</vt:lpwstr>
  </property>
  <property fmtid="{D5CDD505-2E9C-101B-9397-08002B2CF9AE}" pid="3" name="subtitle">
    <vt:lpwstr>SICMA-ESO · Versión 1.0 · Vigente</vt:lpwstr>
  </property>
</Properties>
</file>