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bookmarkStart w:id="20" w:name="control-de-cambios"/>
    <w:p>
      <w:pPr>
        <w:pStyle w:val="Heading2"/>
      </w:pPr>
      <w:r>
        <w:t xml:space="preserve">Control de cambios</w:t>
      </w:r>
    </w:p>
    <w:p>
      <w:pPr>
        <w:pStyle w:val="FirstParagraph"/>
      </w:pPr>
      <w: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El modelo de SICMA tiene 26 clases en 5 áreas, y cubre los 25 casos de uso de SICMA-CUS.</w:t>
      </w:r>
    </w:p>
    <w:p>
      <w:pPr>
        <w:pStyle w:val="BodyText"/>
      </w:pPr>
      <w: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</w:pPr>
      <w: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</w:pPr>
      <w: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</w:pPr>
      <w: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</w:pPr>
      <w: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</w:pPr>
      <w: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</w:pPr>
      <w: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</w:pPr>
      <w: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</w:pPr>
      <w:r>
        <w:t xml:space="preserve">Cada clase tiene un propósito y sus atributos con tipo. Todas las clases tienen un identificador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(entero) que no se repite en la tabla. Los atributos con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</w:pPr>
      <w: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</w:pPr>
      <w: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</w:pPr>
      <w: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</w:pPr>
      <w: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</w:pPr>
      <w: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</w:pPr>
      <w: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BodyText"/>
      </w:pPr>
      <w:r>
        <w:rPr>
          <w:bCs/>
          <w:b/>
        </w:rPr>
        <w:t xml:space="preserve">Referencias</w:t>
      </w:r>
    </w:p>
    <w:p>
      <w:pPr>
        <w:numPr>
          <w:ilvl w:val="0"/>
          <w:numId w:val="1001"/>
        </w:numPr>
        <w:pStyle w:val="Compact"/>
      </w:pPr>
      <w:r>
        <w:t xml:space="preserve">OMG. Unified Modeling Language (UML), diagramas de clases (ISO/IEC 19501).</w:t>
      </w:r>
    </w:p>
    <w:p>
      <w:pPr>
        <w:numPr>
          <w:ilvl w:val="0"/>
          <w:numId w:val="1001"/>
        </w:numPr>
        <w:pStyle w:val="Compact"/>
      </w:pPr>
      <w:r>
        <w:t>SICMA Requerimientos (SICMA-REQ v1.0).</w:t>
      </w:r>
    </w:p>
    <w:p>
      <w:pPr>
        <w:numPr>
          <w:ilvl w:val="0"/>
          <w:numId w:val="1001"/>
        </w:numPr>
        <w:pStyle w:val="Compact"/>
      </w:pPr>
      <w:r>
        <w:t>SICMA Casos de Uso (SICMA-CUS v1.0).</w:t>
      </w:r>
    </w:p>
    <w:p>
      <w:pPr>
        <w:numPr>
          <w:ilvl w:val="0"/>
          <w:numId w:val="1001"/>
        </w:numPr>
        <w:pStyle w:val="Compact"/>
      </w:pPr>
      <w:r>
        <w:t xml:space="preserve">SICMA Formato Universal.</w:t>
      </w:r>
    </w:p>
    <w:bookmarkEnd w:id="54"/>
    <w:sectPr>
      <w:pgSz w:w="12240" w:h="15840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