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Stakeholders</w:t>
      </w:r>
    </w:p>
    <w:p>
      <w:pPr>
        <w:pStyle w:val="Subtitle"/>
      </w:pPr>
      <w:r>
        <w:t xml:space="preserve">SICMA-STK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Vigente</w:t>
      </w:r>
    </w:p>
    <w:p>
      <w:pPr>
        <w:pStyle w:val="Date"/>
      </w:pPr>
      <w:r>
        <w:t xml:space="preserve"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3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4</w:t>
      </w:r>
    </w:p>
    <w:p>
      <w:pPr>
        <w:pStyle w:val="toc1"/>
      </w:pPr>
      <w:r>
        <w:t>Matriz de influencia e interés</w:t>
      </w:r>
      <w:r>
        <w:tab/>
      </w:r>
      <w:r>
        <w:t>5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6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7</w:t>
      </w:r>
    </w:p>
    <w:p>
      <w:pPr>
        <w:pStyle w:val="toc1"/>
      </w:pPr>
      <w:r>
        <w:t>Trazabilidad</w:t>
      </w:r>
      <w:r>
        <w:tab/>
      </w:r>
      <w:r>
        <w:t>7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 y referencias</w:t>
      </w:r>
      <w:r>
        <w:tab/>
      </w:r>
      <w:r>
        <w:t>8</w:t>
      </w:r>
    </w:p>
    <w:p>
      <w:pPr>
        <w:pStyle w:val="toc2"/>
      </w:pPr>
      <w:r>
        <w:t>Referencias</w:t>
      </w:r>
      <w:r>
        <w:tab/>
      </w:r>
      <w:r>
        <w:t>8</w:t>
      </w:r>
    </w:p>
    <w:p>
      <w:pPr>
        <w:pStyle w:val="toc1"/>
      </w:pPr>
      <w:r>
        <w:t>Anexos</w:t>
      </w:r>
      <w:r>
        <w:tab/>
      </w:r>
      <w:r>
        <w:t>9</w:t>
      </w:r>
    </w:p>
    <w:p>
      <w:pPr>
        <w:pStyle w:val="toc2"/>
      </w:pPr>
      <w:r>
        <w:t>Anexo A. Plantilla del registro de revisión de un recorrido</w:t>
      </w:r>
      <w:r>
        <w:tab/>
      </w:r>
      <w:r>
        <w:t>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 (versión 1.1 del 5 de octubre de 2026), SICMA-REQ v1.0, SICMA-PRY v1.0,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del registro y análisis de stakeholders de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rehace el registro con los stakeholders del documento Gestión de stakeholders de la Fase 1: 4 interesados reales y 7 roles del escenario. Se quitan las tecnologías, los proveedores, las instituciones y los departamentos que figuraban como stakeholders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</w:pPr>
      <w: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</w:pPr>
      <w: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</w:pPr>
      <w: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</w:pPr>
      <w:r>
        <w:rPr>
          <w:bCs/>
          <w:b/>
        </w:rPr>
        <w:t xml:space="preserve">Quién es un stakeholder.</w:t>
      </w:r>
      <w:r>
        <w:t xml:space="preserve"> </w:t>
      </w:r>
      <w:r>
        <w:t xml:space="preserve">Una persona o un rol que participa en el proyecto, que lo evalúa o que representa una necesidad de uso.</w:t>
      </w:r>
    </w:p>
    <w:p>
      <w:pPr>
        <w:pStyle w:val="BodyText"/>
      </w:pPr>
      <w:r>
        <w:rPr>
          <w:bCs/>
          <w:b/>
        </w:rPr>
        <w:t xml:space="preserve">Qué queda fuera del registro.</w:t>
      </w:r>
      <w:r>
        <w:t xml:space="preserve"> </w:t>
      </w:r>
      <w: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</w:pPr>
      <w:r>
        <w:rPr>
          <w:bCs/>
          <w:b/>
        </w:rPr>
        <w:t xml:space="preserve">Criterios de análisis.</w:t>
      </w:r>
      <w:r>
        <w:t xml:space="preserve"> </w:t>
      </w:r>
      <w: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</w:pPr>
      <w: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</w:pPr>
      <w:r>
        <w:t xml:space="preserve"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v1.0 (D-02).</w:t>
      </w:r>
    </w:p>
    <w:p>
      <w:pPr>
        <w:pStyle w:val="BodyText"/>
      </w:pPr>
      <w: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</w:pPr>
      <w: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</w:pPr>
      <w: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</w:pPr>
      <w: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</w:pP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</w:pPr>
      <w: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</w:pPr>
      <w: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</w:pPr>
      <w:r>
        <w:t xml:space="preserve">Un commit demuestra una modificación, no por sí solo la aprobación del equipo. Mientras no exista una revisión, su estado es Pendiente.</w:t>
      </w:r>
    </w:p>
    <w:p>
      <w:pPr>
        <w:pStyle w:val="BodyText"/>
      </w:pPr>
      <w: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</w:pPr>
      <w: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</w:pPr>
      <w:r>
        <w:rPr>
          <w:bCs/>
          <w:b/>
        </w:rPr>
        <w:t xml:space="preserve">Tratamiento de una observación.</w:t>
      </w:r>
      <w:r>
        <w:t xml:space="preserve"> </w:t>
      </w:r>
      <w: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documento de la Fase 1 asigna otras responsabilidades que SICMA-PRY v1.0 (por ejemplo, Forms y Power Automate a Claudio, y el clúster MySQL a Fidel). Este documento sigue SICMA-PRY. Falta que el equipo confirme cuál queda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