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Plan de Pruebas</w:t>
      </w:r>
    </w:p>
    <w:p>
      <w:pPr>
        <w:spacing w:before="0" w:after="0"/>
      </w:pPr>
      <w:r>
        <w:rPr>
          <w:b/>
          <w:color w:val="002840"/>
          <w:sz w:val="26"/>
        </w:rPr>
        <w:t>SICMA-PLP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</w:t>
      </w:r>
      <w:r>
        <w:tab/>
      </w:r>
      <w:r>
        <w:t>4</w:t>
      </w:r>
    </w:p>
    <w:p>
      <w:pPr>
        <w:pStyle w:val="toc2"/>
      </w:pPr>
      <w:r>
        <w:t>Qué se prueba</w:t>
      </w:r>
      <w:r>
        <w:tab/>
      </w:r>
      <w:r>
        <w:t>4</w:t>
      </w:r>
    </w:p>
    <w:p>
      <w:pPr>
        <w:pStyle w:val="toc2"/>
      </w:pPr>
      <w:r>
        <w:t>Qué no se prueba</w:t>
      </w:r>
      <w:r>
        <w:tab/>
      </w:r>
      <w:r>
        <w:t>4</w:t>
      </w:r>
    </w:p>
    <w:p>
      <w:pPr>
        <w:pStyle w:val="toc1"/>
      </w:pPr>
      <w:r>
        <w:t>Estrategia de pruebas</w:t>
      </w:r>
      <w:r>
        <w:tab/>
      </w:r>
      <w:r>
        <w:t>4</w:t>
      </w:r>
    </w:p>
    <w:p>
      <w:pPr>
        <w:pStyle w:val="toc2"/>
      </w:pPr>
      <w:r>
        <w:t>Tipos de prueba</w:t>
      </w:r>
      <w:r>
        <w:tab/>
      </w:r>
      <w:r>
        <w:t>4</w:t>
      </w:r>
    </w:p>
    <w:p>
      <w:pPr>
        <w:pStyle w:val="toc2"/>
      </w:pPr>
      <w:r>
        <w:t>Técnicas</w:t>
      </w:r>
      <w:r>
        <w:tab/>
      </w:r>
      <w:r>
        <w:t>5</w:t>
      </w:r>
    </w:p>
    <w:p>
      <w:pPr>
        <w:pStyle w:val="toc2"/>
      </w:pPr>
      <w:r>
        <w:t>Niveles</w:t>
      </w:r>
      <w:r>
        <w:tab/>
      </w:r>
      <w:r>
        <w:t>5</w:t>
      </w:r>
    </w:p>
    <w:p>
      <w:pPr>
        <w:pStyle w:val="toc2"/>
      </w:pPr>
      <w:r>
        <w:t>Orden de ejecución</w:t>
      </w:r>
      <w:r>
        <w:tab/>
      </w:r>
      <w:r>
        <w:t>5</w:t>
      </w:r>
    </w:p>
    <w:p>
      <w:pPr>
        <w:pStyle w:val="toc1"/>
      </w:pPr>
      <w:r>
        <w:t>Entorno y datos de prueba</w:t>
      </w:r>
      <w:r>
        <w:tab/>
      </w:r>
      <w:r>
        <w:t>6</w:t>
      </w:r>
    </w:p>
    <w:p>
      <w:pPr>
        <w:pStyle w:val="toc2"/>
      </w:pPr>
      <w:r>
        <w:t>Entorno</w:t>
      </w:r>
      <w:r>
        <w:tab/>
      </w:r>
      <w:r>
        <w:t>6</w:t>
      </w:r>
    </w:p>
    <w:p>
      <w:pPr>
        <w:pStyle w:val="toc2"/>
      </w:pPr>
      <w:r>
        <w:t>Datos de prueba</w:t>
      </w:r>
      <w:r>
        <w:tab/>
      </w:r>
      <w:r>
        <w:t>6</w:t>
      </w:r>
    </w:p>
    <w:p>
      <w:pPr>
        <w:pStyle w:val="toc1"/>
      </w:pPr>
      <w:r>
        <w:t>Roles y responsabilidades</w:t>
      </w:r>
      <w:r>
        <w:tab/>
      </w:r>
      <w:r>
        <w:t>6</w:t>
      </w:r>
    </w:p>
    <w:p>
      <w:pPr>
        <w:pStyle w:val="toc1"/>
      </w:pPr>
      <w:r>
        <w:t>Proceso de pruebas</w:t>
      </w:r>
      <w:r>
        <w:tab/>
      </w:r>
      <w:r>
        <w:t>7</w:t>
      </w:r>
    </w:p>
    <w:p>
      <w:pPr>
        <w:pStyle w:val="toc2"/>
      </w:pPr>
      <w:r>
        <w:t>Ciclos</w:t>
      </w:r>
      <w:r>
        <w:tab/>
      </w:r>
      <w:r>
        <w:t>7</w:t>
      </w:r>
    </w:p>
    <w:p>
      <w:pPr>
        <w:pStyle w:val="toc2"/>
      </w:pPr>
      <w:r>
        <w:t>Criterios de entrada de un ciclo</w:t>
      </w:r>
      <w:r>
        <w:tab/>
      </w:r>
      <w:r>
        <w:t>7</w:t>
      </w:r>
    </w:p>
    <w:p>
      <w:pPr>
        <w:pStyle w:val="toc2"/>
      </w:pPr>
      <w:r>
        <w:t>Criterios de salida</w:t>
      </w:r>
      <w:r>
        <w:tab/>
      </w:r>
      <w:r>
        <w:t>7</w:t>
      </w:r>
    </w:p>
    <w:p>
      <w:pPr>
        <w:pStyle w:val="toc2"/>
      </w:pPr>
      <w:r>
        <w:t>Suspensión y reanudación</w:t>
      </w:r>
      <w:r>
        <w:tab/>
      </w:r>
      <w:r>
        <w:t>8</w:t>
      </w:r>
    </w:p>
    <w:p>
      <w:pPr>
        <w:pStyle w:val="toc2"/>
      </w:pPr>
      <w:r>
        <w:t>Defectos</w:t>
      </w:r>
      <w:r>
        <w:tab/>
      </w:r>
      <w:r>
        <w:t>8</w:t>
      </w:r>
    </w:p>
    <w:p>
      <w:pPr>
        <w:pStyle w:val="toc2"/>
      </w:pPr>
      <w:r>
        <w:t>Evidencia y reportes</w:t>
      </w:r>
      <w:r>
        <w:tab/>
      </w:r>
      <w:r>
        <w:t>8</w:t>
      </w:r>
    </w:p>
    <w:p>
      <w:pPr>
        <w:pStyle w:val="toc1"/>
      </w:pPr>
      <w:r>
        <w:t>Pruebas por tipo</w:t>
      </w:r>
      <w:r>
        <w:tab/>
      </w:r>
      <w:r>
        <w:t>8</w:t>
      </w:r>
    </w:p>
    <w:p>
      <w:pPr>
        <w:pStyle w:val="toc2"/>
      </w:pPr>
      <w:r>
        <w:t>Seguridad</w:t>
      </w:r>
      <w:r>
        <w:tab/>
      </w:r>
      <w:r>
        <w:t>8</w:t>
      </w:r>
    </w:p>
    <w:p>
      <w:pPr>
        <w:pStyle w:val="toc2"/>
      </w:pPr>
      <w:r>
        <w:t>Rendimiento, carga y recuperación</w:t>
      </w:r>
      <w:r>
        <w:tab/>
      </w:r>
      <w:r>
        <w:t>9</w:t>
      </w:r>
    </w:p>
    <w:p>
      <w:pPr>
        <w:pStyle w:val="toc2"/>
      </w:pPr>
      <w:r>
        <w:t>Integridad de datos</w:t>
      </w:r>
      <w:r>
        <w:tab/>
      </w:r>
      <w:r>
        <w:t>9</w:t>
      </w:r>
    </w:p>
    <w:p>
      <w:pPr>
        <w:pStyle w:val="toc2"/>
      </w:pPr>
      <w:r>
        <w:t>Usabilidad y estándar</w:t>
      </w:r>
      <w:r>
        <w:tab/>
      </w:r>
      <w:r>
        <w:t>10</w:t>
      </w:r>
    </w:p>
    <w:p>
      <w:pPr>
        <w:pStyle w:val="toc1"/>
      </w:pPr>
      <w:r>
        <w:t>Calendario</w:t>
      </w:r>
      <w:r>
        <w:tab/>
      </w:r>
      <w:r>
        <w:t>10</w:t>
      </w:r>
    </w:p>
    <w:p>
      <w:pPr>
        <w:pStyle w:val="toc1"/>
      </w:pPr>
      <w:r>
        <w:t>Riesgos de las pruebas</w:t>
      </w:r>
      <w:r>
        <w:tab/>
      </w:r>
      <w:r>
        <w:t>11</w:t>
      </w:r>
    </w:p>
    <w:p>
      <w:pPr>
        <w:pStyle w:val="toc1"/>
      </w:pPr>
      <w:r>
        <w:t>Artefactos</w:t>
      </w:r>
      <w:r>
        <w:tab/>
      </w:r>
      <w:r>
        <w:t>11</w:t>
      </w:r>
    </w:p>
    <w:p>
      <w:pPr>
        <w:pStyle w:val="toc1"/>
      </w:pPr>
      <w:r>
        <w:t>Trazabilidad</w:t>
      </w:r>
      <w:r>
        <w:tab/>
      </w:r>
      <w:r>
        <w:t>11</w:t>
      </w:r>
    </w:p>
    <w:p>
      <w:pPr>
        <w:pStyle w:val="toc1"/>
      </w:pPr>
      <w:r>
        <w:t>Supuestos y pendientes</w:t>
      </w:r>
      <w:r>
        <w:tab/>
      </w:r>
      <w:r>
        <w:t>12</w:t>
      </w:r>
    </w:p>
    <w:p>
      <w:pPr>
        <w:pStyle w:val="toc1"/>
      </w:pPr>
      <w:r>
        <w:t>Glosario</w:t>
      </w:r>
      <w:r>
        <w:tab/>
      </w:r>
      <w:r>
        <w:t>12</w:t>
      </w:r>
    </w:p>
    <w:p>
      <w:pPr>
        <w:pStyle w:val="toc1"/>
      </w:pPr>
      <w:r>
        <w:t>Referencias</w:t>
      </w:r>
      <w:r>
        <w:tab/>
      </w:r>
      <w:r>
        <w:t>14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SICMA-PLP. Reemplaza al borrador anterior;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88"/>
        <w:gridCol w:w="5050"/>
      </w:tblGrid>
      <w:tr>
        <w:trPr>
          <w:tblHeader w:val="true"/>
          <w:cantSplit/>
        </w:trPr>
        <w:tc>
          <w:tcPr>
            <w:tcW w:w="378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50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v1.1, SICMA-CUS v1.1, SICMA-CLA v1.1, SICMA-ACT v1.1, SICMA-BDD v1.1, SICMA-MCK v1.1 y la guía del estudiante de la Fase 1 (plan de trabajo y carta Gantt)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7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plan de pruebas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siguen el plan de trabajo de la Fase 1: continuas e incrementales de la semana 6 a la 16. Calendario por semanas de la carta Gantt. Claudio Varas es el responsable de las pruebas y en la práctica las ejecutan los tres. Los defectos van a GitHub Issues. Se cierra D-44.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Corrige el calendario: la semana en curso es la S9 (la S1 empieza el 10 de agosto). Las pruebas pasan a tres ciclos alineados con las fechas de desarrollo de la base de tareas. Reemplaza el supuesto de D-48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actualiza el lector a SecuGen y se cierran D-02 y D-03, según el código del 25 de octubre (commit 59710a5d).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plan define cómo se comprobará que SICMA cumple sus 36 requerimientos funcionales y 20 no funcionales: qué se prueba, con qué tipos de prueba, en qué orden, en qué entorno, quién lo hace y cuándo se da por terminado. Es la base de los casos de prueba (SICMA-CPR) y de los informes de resultados, de defectos y de evidencia.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problema que resuelve SICMA es real y es del departamento de TI de Carozzi, pero las pruebas del proyecto se hacen con un entorno y datos simulados. No se prueba en producción.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Se cubren cinco tipos de prueba: funcionales, de seguridad, de rendimiento y carga, de integridad de datos y de usabilidad con casos estándar.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80"/>
        <w:gridCol w:w="4858"/>
      </w:tblGrid>
      <w:tr>
        <w:trPr>
          <w:tblHeader w:val="true"/>
          <w:cantSplit/>
        </w:trPr>
        <w:tc>
          <w:tcPr>
            <w:tcW w:w="39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tcW w:w="48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cubiertos</w:t>
            </w:r>
          </w:p>
        </w:tc>
        <w:tc>
          <w:tcPr>
            <w:tcW w:w="48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36 RF y 20 RNF (37 de 56 son Must)</w:t>
            </w:r>
          </w:p>
        </w:tc>
      </w:tr>
      <w:tr>
        <w:trPr>
          <w:cantSplit/>
        </w:trPr>
        <w:tc>
          <w:tcPr>
            <w:tcW w:w="3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prueba</w:t>
            </w:r>
          </w:p>
        </w:tc>
        <w:tc>
          <w:tcPr>
            <w:tcW w:w="48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rendimiento y carga, integridad de datos, usabilidad y estándar</w:t>
            </w:r>
          </w:p>
        </w:tc>
      </w:tr>
      <w:tr>
        <w:trPr>
          <w:cantSplit/>
        </w:trPr>
        <w:tc>
          <w:tcPr>
            <w:tcW w:w="3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de casos</w:t>
            </w:r>
          </w:p>
        </w:tc>
        <w:tc>
          <w:tcPr>
            <w:tcW w:w="48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</w:tr>
      <w:tr>
        <w:trPr>
          <w:cantSplit/>
        </w:trPr>
        <w:tc>
          <w:tcPr>
            <w:tcW w:w="39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aceptación global</w:t>
            </w:r>
          </w:p>
        </w:tc>
        <w:tc>
          <w:tcPr>
            <w:tcW w:w="48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CA-01 a CA-07 de SICMA-REQ</w:t>
            </w:r>
          </w:p>
        </w:tc>
      </w:tr>
    </w:tbl>
    <w:bookmarkEnd w:id="21"/>
    <w:bookmarkStart w:id="24" w:name="alcance"/>
    <w:p>
      <w:pPr>
        <w:pStyle w:val="Heading2"/>
      </w:pPr>
      <w:r>
        <w:t xml:space="preserve">Alcance</w:t>
      </w:r>
    </w:p>
    <w:bookmarkStart w:id="22" w:name="qué-se-prueba"/>
    <w:p>
      <w:pPr>
        <w:pStyle w:val="Heading3"/>
      </w:pPr>
      <w:r>
        <w:t xml:space="preserve">Qué se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50"/>
        <w:gridCol w:w="3336"/>
        <w:gridCol w:w="2452"/>
      </w:tblGrid>
      <w:tr>
        <w:trPr>
          <w:tblHeader w:val="true"/>
          <w:cantSplit/>
        </w:trPr>
        <w:tc>
          <w:tcPr>
            <w:tcW w:w="30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tcW w:w="33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tcW w:w="24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 a RF-ID-06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y CU-05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a CU-09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 a RF-AMB-05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a CU-13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 a RF-INF-03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y CU-15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 a RF-ACC-03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a CU-18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 (Power BI)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no funcionales</w:t>
            </w:r>
          </w:p>
        </w:tc>
        <w:tc>
          <w:tcPr>
            <w:tcW w:w="33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RNF-DIS, RNF-USO, RNF-DES, RNF-CAL, RNF-LEG, RNF-MNT, RNF-REN</w:t>
            </w:r>
          </w:p>
        </w:tc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Transversal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correspondencia exacta entre cada requerimiento y su caso de uso se mantiene en SICMA-CUS. Si difiere de esta tabla, vale SICMA-CUS.</w:t>
      </w:r>
    </w:p>
    <w:bookmarkEnd w:id="22"/>
    <w:bookmarkStart w:id="23" w:name="qué-no-se-prueba"/>
    <w:p>
      <w:pPr>
        <w:pStyle w:val="Heading3"/>
      </w:pPr>
      <w:r>
        <w:t xml:space="preserve">Qué no se prueba</w:t>
      </w:r>
    </w:p>
    <w:p>
      <w:pPr>
        <w:numPr>
          <w:ilvl w:val="0"/>
          <w:numId w:val="1001"/>
        </w:numPr>
        <w:pStyle w:val="Compact"/>
      </w:pPr>
      <w:r>
        <w:t xml:space="preserve">El despliegue productivo en un datacenter real y la disponibilidad de nivel empresarial (fuera del alcance de SICMA-REQ).</w:t>
      </w:r>
    </w:p>
    <w:p>
      <w:pPr>
        <w:numPr>
          <w:ilvl w:val="0"/>
          <w:numId w:val="1001"/>
        </w:numPr>
        <w:pStyle w:val="Compact"/>
      </w:pPr>
      <w:r>
        <w:t>La comparación o el almacenamiento de huellas: SICMA no las guarda, y el lector SecuGen se prueba solo en lo que entrega a SICMA.</w:t>
      </w:r>
    </w:p>
    <w:p>
      <w:pPr>
        <w:numPr>
          <w:ilvl w:val="0"/>
          <w:numId w:val="1001"/>
        </w:numPr>
        <w:pStyle w:val="Compact"/>
      </w:pPr>
      <w:r>
        <w:t xml:space="preserve">El funcionamiento interno de los productos externos: Zabbix, Microsoft Forms, Teams, Power Automate, Power BI y el servidor SMTP. Se prueba la integración con SICMA, no el producto.</w:t>
      </w:r>
    </w:p>
    <w:p>
      <w:pPr>
        <w:numPr>
          <w:ilvl w:val="0"/>
          <w:numId w:val="1001"/>
        </w:numPr>
        <w:pStyle w:val="Compact"/>
      </w:pPr>
      <w:r>
        <w:t xml:space="preserve">Las acciones sobre equipos físicos (cerraduras, climatización, UPS), que SICMA no ejecuta.</w:t>
      </w:r>
    </w:p>
    <w:bookmarkEnd w:id="23"/>
    <w:bookmarkEnd w:id="24"/>
    <w:bookmarkStart w:id="29" w:name="estrategia-de-pruebas"/>
    <w:p>
      <w:pPr>
        <w:pStyle w:val="Heading2"/>
      </w:pPr>
      <w:r>
        <w:t xml:space="preserve">Estrategia de pruebas</w:t>
      </w:r>
    </w:p>
    <w:bookmarkStart w:id="25" w:name="tipos-de-prueba"/>
    <w:p>
      <w:pPr>
        <w:pStyle w:val="Heading3"/>
      </w:pPr>
      <w:r>
        <w:t xml:space="preserve">Tipos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1"/>
        <w:gridCol w:w="4026"/>
        <w:gridCol w:w="2811"/>
      </w:tblGrid>
      <w:tr>
        <w:trPr>
          <w:tblHeader w:val="true"/>
          <w:cantSplit/>
        </w:trPr>
        <w:tc>
          <w:tcPr>
            <w:tcW w:w="200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40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comprueba</w:t>
            </w:r>
          </w:p>
        </w:tc>
        <w:tc>
          <w:tcPr>
            <w:tcW w:w="28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principales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 cada función haga lo que dice el requerimiento, con datos válidos e inválidos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RF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Que SICMA converse bien con Zabbix, Forms, Teams, Power Automate, Outlook, SMTP, Power BI y el lector SecuGen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RF-INT, RF-ACC, RF-BI, RF-AMB-05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por rol, bloqueo por intentos, política de contraseñas, JWT, TLS, hash, inyección SQL y OWASP Top 10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RNF-SEG, RNF-CAL-02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 y carga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Tiempos de respuesta, ingesta de lecturas y recuperación del clúster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RNF-DIS-02, RNF-REN-01 y los valores de referencia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 de datos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 se cumplan las reglas de integridad (RI) y de negocio (RN), en especial las que valida el backend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a RI-19, RN-01 a RN-10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 y estándar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Interfaz, validación de datos de entrada, informes y accesibilidad (WCAG 2.2 y escala SUS)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últimas versiones estables de Chrome y Edge, y Android 10 o superior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referencia de SICMA-REQ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>
            <w:tcW w:w="40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 documentación, inspección de código con SonarQube y revisión de la documentación OpenAPI</w:t>
            </w:r>
          </w:p>
        </w:tc>
        <w:tc>
          <w:tcPr>
            <w:tcW w:w="28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</w:tr>
    </w:tbl>
    <w:bookmarkEnd w:id="25"/>
    <w:bookmarkStart w:id="26" w:name="técnicas"/>
    <w:p>
      <w:pPr>
        <w:pStyle w:val="Heading3"/>
      </w:pPr>
      <w:r>
        <w:t xml:space="preserve">Técnicas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negra</w:t>
      </w:r>
      <w:r>
        <w:t xml:space="preserve"> </w:t>
      </w:r>
      <w:r>
        <w:t xml:space="preserve">para las pruebas funcionales, de usabilidad y de aceptación: se evalúa lo que ve el usuario, sin mirar el código.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gris</w:t>
      </w:r>
      <w:r>
        <w:t xml:space="preserve"> </w:t>
      </w:r>
      <w:r>
        <w:t xml:space="preserve">para integridad de datos y seguridad: se ejecuta por la interfaz o la API y se verifica el resultado consultando la base de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blanca</w:t>
      </w:r>
      <w:r>
        <w:t xml:space="preserve"> </w:t>
      </w:r>
      <w:r>
        <w:t xml:space="preserve">solo para la inspección de código con SonarQube.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Valores límite y particiones de equivalencia</w:t>
      </w:r>
      <w:r>
        <w:t xml:space="preserve"> </w:t>
      </w:r>
      <w:r>
        <w:t xml:space="preserve">en campos con rangos (umbrales, contraseñas, intentos fallidos, fechas).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Casos estándar de calidad</w:t>
      </w:r>
      <w:r>
        <w:t xml:space="preserve"> </w:t>
      </w:r>
      <w:r>
        <w:t xml:space="preserve">(interfaz, validación de datos, funcionales, informes) tomados de una planilla de casos estándar que se adapta a SICMA.</w:t>
      </w:r>
    </w:p>
    <w:bookmarkEnd w:id="26"/>
    <w:bookmarkStart w:id="27" w:name="niveles"/>
    <w:p>
      <w:pPr>
        <w:pStyle w:val="Heading3"/>
      </w:pPr>
      <w:r>
        <w:t xml:space="preserve">Niveles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Unitarias del backend</w:t>
      </w:r>
      <w:r>
        <w:t xml:space="preserve">, a cargo de quien desarrolla; sus resultados se anexan si existen.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Integración</w:t>
      </w:r>
      <w:r>
        <w:t xml:space="preserve">: la API con la base MySQL y con cada sistema externo.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</w:t>
      </w:r>
      <w:r>
        <w:t xml:space="preserve">: recorrido completo por la aplicación web y la app móvil.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Aceptación</w:t>
      </w:r>
      <w:r>
        <w:t xml:space="preserve">: demostración de extremo a extremo con los criterios CA-01 a CA-07 (CA-02 recorre un activo desde su registro hasta su consulta móvil).</w:t>
      </w:r>
    </w:p>
    <w:bookmarkEnd w:id="27"/>
    <w:bookmarkStart w:id="28" w:name="orden-de-ejecución"/>
    <w:p>
      <w:pPr>
        <w:pStyle w:val="Heading3"/>
      </w:pPr>
      <w:r>
        <w:t xml:space="preserve">Orden de ejecución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orden sigue las dependencias entre módulos.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63"/>
        <w:gridCol w:w="3039"/>
        <w:gridCol w:w="4236"/>
      </w:tblGrid>
      <w:tr>
        <w:trPr>
          <w:tblHeader w:val="true"/>
          <w:cantSplit/>
        </w:trPr>
        <w:tc>
          <w:tcPr>
            <w:tcW w:w="15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Etapa</w:t>
            </w:r>
          </w:p>
        </w:tc>
        <w:tc>
          <w:tcPr>
            <w:tcW w:w="30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tcW w:w="42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Por qué en este orden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sesión y sin rol no se puede probar nada más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ubicaciones y dispositivos son datos base de los activos y de las lecturas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Dependen de los catálogos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zonas, dispositivos, umbrales y responsables de alerta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Independiente, pero requiere activos de tipo servidor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usuarios y puntos de acceso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activos, usuarios con rol Jefatura y Administrador, y los flujos de Forms, Teams y Outlook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datos de las etapas anteriores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repite lo esencial en web y en móvil</w:t>
            </w:r>
          </w:p>
        </w:tc>
      </w:tr>
      <w:tr>
        <w:trPr>
          <w:cantSplit/>
        </w:trP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30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Seguridad, rendimiento, recuperación del clúster y usabilidad</w:t>
            </w:r>
          </w:p>
        </w:tc>
        <w:tc>
          <w:tcPr>
            <w:tcW w:w="4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miden con el sistema ya funcionando</w:t>
            </w:r>
          </w:p>
        </w:tc>
      </w:tr>
    </w:tbl>
    <w:bookmarkEnd w:id="28"/>
    <w:bookmarkEnd w:id="29"/>
    <w:bookmarkStart w:id="32" w:name="entorno-y-datos-de-prueba"/>
    <w:p>
      <w:pPr>
        <w:pStyle w:val="Heading2"/>
      </w:pPr>
      <w:r>
        <w:t xml:space="preserve">Entorno y datos de prueba</w:t>
      </w:r>
    </w:p>
    <w:bookmarkStart w:id="30" w:name="entorno"/>
    <w:p>
      <w:pPr>
        <w:pStyle w:val="Heading3"/>
      </w:pPr>
      <w:r>
        <w:t xml:space="preserve">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5"/>
        <w:gridCol w:w="5893"/>
      </w:tblGrid>
      <w:tr>
        <w:trPr>
          <w:tblHeader w:val="true"/>
          <w:cantSplit/>
        </w:trPr>
        <w:tc>
          <w:tcPr>
            <w:tcW w:w="29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Componente</w:t>
            </w:r>
          </w:p>
        </w:tc>
        <w:tc>
          <w:tcPr>
            <w:tcW w:w="58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 en un servidor de pruebas on-premise, separado del que usa el equipo para desarrollar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MySQL InnoDB de 3 nodos con un primary, como en el diseño. Para la prueba de recuperación se necesita poder bajar el nodo primary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 web y móvil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(web) e Ionic (móvil). Navegadores: Chrome y Edge, últimas dos versiones estables. Móvil: Android 10 o superior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Dispositivos IoT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ESP32-S3 con DHT22 real, y un simulador que envía lecturas con la marca de simulación (RN-06)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de prueba con un servidor que se puede apagar, Microsoft Forms, Teams y Power Automate de una cuenta de prueba, calendario de Outlook de prueba, servidor SMTP de prueba y Power BI con cuenta de solo lectura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SecuGen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lector del equipo con un PC conectado, o un simulador que envía el mismo mensaje a la API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</w:t>
            </w:r>
          </w:p>
        </w:tc>
        <w:tc>
          <w:tcPr>
            <w:tcW w:w="58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 de API (Postman o similar), cliente de base de datos, herramienta de carga (JMeter, k6 o Locust), OWASP ZAP, sqlmap, SonarQube y GitHub Actions. Las herramientas exactas se confirman en D-45</w:t>
            </w:r>
          </w:p>
        </w:tc>
      </w:tr>
    </w:tbl>
    <w:bookmarkEnd w:id="30"/>
    <w:bookmarkStart w:id="31" w:name="datos-de-prueba"/>
    <w:p>
      <w:pPr>
        <w:pStyle w:val="Heading3"/>
      </w:pPr>
      <w:r>
        <w:t xml:space="preserve">Datos de prueba</w:t>
      </w:r>
    </w:p>
    <w:p>
      <w:pPr>
        <w:numPr>
          <w:ilvl w:val="0"/>
          <w:numId w:val="1004"/>
        </w:numPr>
        <w:pStyle w:val="Compact"/>
      </w:pPr>
      <w:r>
        <w:t xml:space="preserve">Datos ficticios para zonas, activos, personas y huellas. No se usan datos personales reales.</w:t>
      </w:r>
    </w:p>
    <w:p>
      <w:pPr>
        <w:numPr>
          <w:ilvl w:val="0"/>
          <w:numId w:val="1004"/>
        </w:numPr>
        <w:pStyle w:val="Compact"/>
      </w:pPr>
      <w:r>
        <w:t xml:space="preserve">Cuentas de prueba, una por rol: Administrador, Jefatura, Técnico y Auditor, más una cuenta desactivada y una bloqueada.</w:t>
      </w:r>
    </w:p>
    <w:p>
      <w:pPr>
        <w:numPr>
          <w:ilvl w:val="0"/>
          <w:numId w:val="1004"/>
        </w:numPr>
        <w:pStyle w:val="Compact"/>
      </w:pPr>
      <w:r>
        <w:t xml:space="preserve">Lecturas simuladas con marca visible y persistente (RN-06), que no se mezclan con las reales. La base actual ya tiene más de 1.100 lecturas reales; los casos de prueba no las alteran.</w:t>
      </w:r>
    </w:p>
    <w:p>
      <w:pPr>
        <w:numPr>
          <w:ilvl w:val="0"/>
          <w:numId w:val="1004"/>
        </w:numPr>
        <w:pStyle w:val="Compact"/>
      </w:pPr>
      <w:r>
        <w:t xml:space="preserve">Volumen para carga: lecturas cada 2 segundos, hasta 43.200 por dispositivo al día.</w:t>
      </w:r>
    </w:p>
    <w:p>
      <w:pPr>
        <w:numPr>
          <w:ilvl w:val="0"/>
          <w:numId w:val="1004"/>
        </w:numPr>
        <w:pStyle w:val="Compact"/>
      </w:pPr>
      <w:r>
        <w:t xml:space="preserve">Las pruebas de seguridad se hacen solo contra el entorno de pruebas.</w:t>
      </w:r>
    </w:p>
    <w:bookmarkEnd w:id="31"/>
    <w:bookmarkEnd w:id="32"/>
    <w:bookmarkStart w:id="33" w:name="roles-y-responsabilidades"/>
    <w:p>
      <w:pPr>
        <w:pStyle w:val="Heading2"/>
      </w:pPr>
      <w:r>
        <w:t xml:space="preserve">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03"/>
        <w:gridCol w:w="3763"/>
        <w:gridCol w:w="2672"/>
      </w:tblGrid>
      <w:tr>
        <w:trPr>
          <w:tblHeader w:val="true"/>
          <w:cantSplit/>
        </w:trPr>
        <w:tc>
          <w:tcPr>
            <w:tcW w:w="240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de pruebas</w:t>
            </w:r>
          </w:p>
        </w:tc>
        <w:tc>
          <w:tcPr>
            <w:tcW w:w="37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Responsabilidad</w:t>
            </w:r>
          </w:p>
        </w:tc>
        <w:tc>
          <w:tcPr>
            <w:tcW w:w="26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Jefe de pruebas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Planifica, coordina y decide el cierre de cada ciclo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Analista de pruebas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 los casos desde los requerimientos y mantiene la trazabilidad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 los casos y registra resultados y evidencias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apoyo de los tres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Aseguramiento de calidad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 que el proceso siga este plan y revisa los informes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de defectos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prioriza y hace seguimiento de los defectos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GitHub Issues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 aceptación</w:t>
            </w:r>
          </w:p>
        </w:tc>
        <w:tc>
          <w:tcPr>
            <w:tcW w:w="37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 el resultado frente a los requerimientos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y cliente, por confirmar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Según el plan de trabajo de la Fase 1, Claudio Varas es el responsable de las pruebas y de coordinar su corrección. En la práctica las ejecutan los tres integrantes, así que una misma persona puede tener más de un rol de pruebas. El docente es Luis Bravo.</w:t>
      </w:r>
    </w:p>
    <w:bookmarkEnd w:id="33"/>
    <w:bookmarkStart w:id="40" w:name="proceso-de-pruebas"/>
    <w:p>
      <w:pPr>
        <w:pStyle w:val="Heading2"/>
      </w:pPr>
      <w:r>
        <w:t xml:space="preserve">Proceso de pruebas</w:t>
      </w:r>
    </w:p>
    <w:bookmarkStart w:id="34" w:name="ciclos"/>
    <w:p>
      <w:pPr>
        <w:pStyle w:val="Heading3"/>
      </w:pPr>
      <w:r>
        <w:t xml:space="preserve">Ciclos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Siguiendo el plan de trabajo de la Fase 1, las pruebas son continuas e incrementales: se hacen sobre cada incremento que el desarrollo entrega, de la semana 6 a la 16, y no se dejan para el final. Cada ciclo ejecuta los casos de los módulos entregados hasta ese momento, registra los resultados y devuelve los defectos al desarrollo. Al corregirse un defecto se repite el caso que falló y los casos relacionados (regresión). El ciclo termina cuando se cumplen los criterios de salida.</w:t>
      </w:r>
    </w:p>
    <w:bookmarkEnd w:id="34"/>
    <w:bookmarkStart w:id="35" w:name="criterios-de-entrada-de-un-ciclo"/>
    <w:p>
      <w:pPr>
        <w:pStyle w:val="Heading3"/>
      </w:pPr>
      <w:r>
        <w:t xml:space="preserve">Criterios de entrada de un ciclo</w:t>
      </w:r>
    </w:p>
    <w:p>
      <w:pPr>
        <w:numPr>
          <w:ilvl w:val="0"/>
          <w:numId w:val="1005"/>
        </w:numPr>
        <w:pStyle w:val="Compact"/>
      </w:pPr>
      <w:r>
        <w:t xml:space="preserve">Los documentos SICMA-REQ, SICMA-CUS y SICMA-CPR están en una versión estable y acordada.</w:t>
      </w:r>
    </w:p>
    <w:p>
      <w:pPr>
        <w:numPr>
          <w:ilvl w:val="0"/>
          <w:numId w:val="1005"/>
        </w:numPr>
        <w:pStyle w:val="Compact"/>
      </w:pPr>
      <w:r>
        <w:t xml:space="preserve">El entorno de pruebas funciona y tiene los datos y cuentas de prueba.</w:t>
      </w:r>
    </w:p>
    <w:p>
      <w:pPr>
        <w:numPr>
          <w:ilvl w:val="0"/>
          <w:numId w:val="1005"/>
        </w:numPr>
        <w:pStyle w:val="Compact"/>
      </w:pPr>
      <w:r>
        <w:t xml:space="preserve">La versión del software a probar está identificada (rama y commit) y pasó la integración continua.</w:t>
      </w:r>
    </w:p>
    <w:p>
      <w:pPr>
        <w:numPr>
          <w:ilvl w:val="0"/>
          <w:numId w:val="1005"/>
        </w:numPr>
        <w:pStyle w:val="Compact"/>
      </w:pPr>
      <w:r>
        <w:t xml:space="preserve">No hay defectos críticos abiertos del ciclo anterior.</w:t>
      </w:r>
    </w:p>
    <w:bookmarkEnd w:id="35"/>
    <w:bookmarkStart w:id="36" w:name="criterios-de-salida"/>
    <w:p>
      <w:pPr>
        <w:pStyle w:val="Heading3"/>
      </w:pPr>
      <w:r>
        <w:t xml:space="preserve">Criterios de salida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52"/>
        <w:gridCol w:w="6386"/>
      </w:tblGrid>
      <w:tr>
        <w:trPr>
          <w:tblHeader w:val="true"/>
          <w:cantSplit/>
        </w:trPr>
        <w:tc>
          <w:tcPr>
            <w:tcW w:w="24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638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CS-01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 (es CA-01)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CS-02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quedan defectos críticos ni altos abiertos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CS-03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menos el 90 % de los casos de requerimientos Should se ejecutó, y los fallidos tienen defecto registrado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CS-04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de rendimiento y de recuperación del clúster (ver Rendimiento, carga y recuperación)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CS-05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CA-02 a CA-07 de SICMA-REQ</w:t>
            </w:r>
          </w:p>
        </w:tc>
      </w:tr>
      <w:tr>
        <w:trPr>
          <w:cantSplit/>
        </w:trPr>
        <w:tc>
          <w:tcPr>
            <w:tcW w:w="2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CS-06</w:t>
            </w:r>
          </w:p>
        </w:tc>
        <w:tc>
          <w:tcPr>
            <w:tcW w:w="63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informes de resultados, defectos y evidencia están entregados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Estos criterios son una propuesta y quedan por validar (D-46).</w:t>
      </w:r>
    </w:p>
    <w:bookmarkEnd w:id="36"/>
    <w:bookmarkStart w:id="37" w:name="suspensión-y-reanudación"/>
    <w:p>
      <w:pPr>
        <w:pStyle w:val="Heading3"/>
      </w:pPr>
      <w:r>
        <w:t xml:space="preserve">Suspensión y reanudación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Se suspende el ciclo si falla el inicio de sesión para todos los roles, si el entorno no responde o si hay un defecto crítico que bloquea más del 30 % de los casos. Se reanuda cuando se corrige la causa y se repite el caso que la detectó.</w:t>
      </w:r>
    </w:p>
    <w:bookmarkEnd w:id="37"/>
    <w:bookmarkStart w:id="38" w:name="defectos"/>
    <w:p>
      <w:pPr>
        <w:pStyle w:val="Heading3"/>
      </w:pPr>
      <w:r>
        <w:t xml:space="preserve">Defectos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78"/>
        <w:gridCol w:w="3612"/>
        <w:gridCol w:w="3548"/>
      </w:tblGrid>
      <w:tr>
        <w:trPr>
          <w:tblHeader w:val="true"/>
          <w:cantSplit/>
        </w:trPr>
        <w:tc>
          <w:tcPr>
            <w:tcW w:w="167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Severidad</w:t>
            </w:r>
          </w:p>
        </w:tc>
        <w:tc>
          <w:tcPr>
            <w:tcW w:w="361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  <w:tc>
          <w:tcPr>
            <w:tcW w:w="35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Crítica</w:t>
            </w:r>
          </w:p>
        </w:tc>
        <w:tc>
          <w:tcPr>
            <w:tcW w:w="36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Impide usar una función Must o expone datos o seguridad</w:t>
            </w:r>
          </w:p>
        </w:tc>
        <w:tc>
          <w:tcPr>
            <w:tcW w:w="35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Técnico puede cambiar roles; se guarda un umbral con mínimo mayor que el máximo y la alerta deja de funcionar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36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función importante falla y no hay alternativa</w:t>
            </w:r>
          </w:p>
        </w:tc>
        <w:tc>
          <w:tcPr>
            <w:tcW w:w="35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alerta se genera pero no llega el correo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36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función falla en un caso borde o hay una alternativa</w:t>
            </w:r>
          </w:p>
        </w:tc>
        <w:tc>
          <w:tcPr>
            <w:tcW w:w="35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búsqueda no filtra por estado</w:t>
            </w:r>
          </w:p>
        </w:tc>
      </w:tr>
      <w:tr>
        <w:trPr>
          <w:cantSplit/>
        </w:trPr>
        <w:tc>
          <w:tcPr>
            <w:tcW w:w="16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36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de forma, texto o ortografía</w:t>
            </w:r>
          </w:p>
        </w:tc>
        <w:tc>
          <w:tcPr>
            <w:tcW w:w="35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mensaje de error con una falta de ortografía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Cada defecto se registra como una incidencia en GitHub Issues, con los campos de la plantilla de reporte de defecto: ID del caso, fecha, ambiente, nivel de impacto, módulo, título, descripción, pasos para replicar con evidencia y resultado esperado frente al obtenido. Los estados son Nuevo, Asignado, Corregido, Verificado y Cerrado (o Rechazado). La tarea correspondiente se mueve en el tablero Kanban a la columna En revisión/pruebas mientras se corrige y se verifica.</w:t>
      </w:r>
    </w:p>
    <w:bookmarkEnd w:id="38"/>
    <w:bookmarkStart w:id="39" w:name="evidencia-y-reportes"/>
    <w:p>
      <w:pPr>
        <w:pStyle w:val="Heading3"/>
      </w:pPr>
      <w:r>
        <w:t xml:space="preserve">Evidencia y reportes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caso ejecutado deja evidencia (captura, respuesta de la API o consulta a la base) con el ID del caso, la fecha y la versión probada. Se usan las plantillas de reporte de evidencia y de reporte de defecto. Los resultados se resumen por ciclo en el informe de resultados.</w:t>
      </w:r>
    </w:p>
    <w:bookmarkEnd w:id="39"/>
    <w:bookmarkEnd w:id="40"/>
    <w:bookmarkStart w:id="45" w:name="pruebas-por-tipo"/>
    <w:p>
      <w:pPr>
        <w:pStyle w:val="Heading2"/>
      </w:pPr>
      <w:r>
        <w:t xml:space="preserve">Pruebas por tipo</w:t>
      </w:r>
    </w:p>
    <w:bookmarkStart w:id="41" w:name="seguridad"/>
    <w:p>
      <w:pPr>
        <w:pStyle w:val="Heading3"/>
      </w:pPr>
      <w:r>
        <w:t xml:space="preserve">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22"/>
        <w:gridCol w:w="4233"/>
        <w:gridCol w:w="2483"/>
      </w:tblGrid>
      <w:tr>
        <w:trPr>
          <w:tblHeader w:val="true"/>
          <w:cantSplit/>
        </w:trPr>
        <w:tc>
          <w:tcPr>
            <w:tcW w:w="21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Ámbito</w:t>
            </w:r>
          </w:p>
        </w:tc>
        <w:tc>
          <w:tcPr>
            <w:tcW w:w="42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  <w:tc>
          <w:tcPr>
            <w:tcW w:w="24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Ingreso válido e inválido, expiración de sesión a los 15 minutos, token firmado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RF-ID-01, RNF-SEG-01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Bloqueo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fallidos en 15 minutos bloquean la cuenta 15 minutos o hasta que el Administrador la desbloquee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Contraseñas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Complejidad (10 caracteres, mayúscula, minúscula, número y carácter especial), antigüedad, recuperación por correo con código de un solo uso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RF-ID-03, RNF-SEG-03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Autorización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rol solo hace lo de la matriz de permisos, también con llamadas directas a la API (CA-04)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RF-ID-05, RF-ID-06, RNF-SEG-08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 SQL en login, búsquedas y formularios, y caracteres especiales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Transporte y almacenamiento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en toda comunicación, contraseñas con hash, orígenes autorizados (CORS), puertos acotados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RNF-SEG-04, RNF-SEG-05, RNF-SEG-07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las diez categorías contra la API y la web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</w:t>
            </w:r>
          </w:p>
        </w:tc>
        <w:tc>
          <w:tcPr>
            <w:tcW w:w="42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guarda huellas ni plantillas, y los secretos no están en GitHub (CA-05)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</w:tr>
    </w:tbl>
    <w:bookmarkEnd w:id="41"/>
    <w:bookmarkStart w:id="42" w:name="rendimiento-carga-y-recuperación"/>
    <w:p>
      <w:pPr>
        <w:pStyle w:val="Heading3"/>
      </w:pPr>
      <w:r>
        <w:t xml:space="preserve">Rendimiento, carga y recuperación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27"/>
        <w:gridCol w:w="5711"/>
      </w:tblGrid>
      <w:tr>
        <w:trPr>
          <w:tblHeader w:val="true"/>
          <w:cantSplit/>
        </w:trPr>
        <w:tc>
          <w:tcPr>
            <w:tcW w:w="31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</w:t>
            </w:r>
          </w:p>
        </w:tc>
        <w:tc>
          <w:tcPr>
            <w:tcW w:w="57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Consultas web comunes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responde en 3 segundos o menos con 20 usuarios concurrentes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Ingesta de lecturas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se guarda y se evalúa contra los umbrales en 5 segundos o menos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Carga sostenida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 cada 2 segundos desde varios dispositivos simulados; se observa que no se pierdan y que no se dupliquen (idempotencia por UUID)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Estrés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aumenta la carga hasta encontrar el punto en que aparecen errores, y se informa cómo se recupera el sistema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a Zabbix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caído se refleja en SICMA en el minuto siguiente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la escritura se restablece en 60 segundos o menos, sin pérdida de datos confirmados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valores de referencia son propuestas de SICMA-REQ que están por validar (D-06).</w:t>
      </w:r>
    </w:p>
    <w:bookmarkEnd w:id="42"/>
    <w:bookmarkStart w:id="43" w:name="integridad-de-datos"/>
    <w:p>
      <w:pPr>
        <w:pStyle w:val="Heading3"/>
      </w:pPr>
      <w:r>
        <w:t xml:space="preserve">Integridad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Se verifican las 19 reglas de integridad (RI-01 a RI-19) y las 10 reglas de negocio (RN-01 a RN-10). Según SICMA-BDD v1.1, la base cumple 7 reglas por sí sola y el backend hace cumplir 8, entre ellas RI-09. Esas 8 no las asegura la estructura de las tablas, así que sus casos son obligatorios.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68"/>
        <w:gridCol w:w="5870"/>
      </w:tblGrid>
      <w:tr>
        <w:trPr>
          <w:tblHeader w:val="true"/>
          <w:cantSplit/>
        </w:trPr>
        <w:tc>
          <w:tcPr>
            <w:tcW w:w="29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tcW w:w="58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un umbral con mínimo mayor o igual que el máximo se rechaza. Crear un segundo umbral vigente para la misma ubicación y variable se rechaza o reemplaza al anterior. Ambos controles los hace el backend, sin CHECK ni único en la base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RI-01, RI-03, RI-04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único, bloqueo por intentos y código de recuperación de un solo uso, todo en el backend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RI-07, RI-10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deja historial y una lectura fuera de umbral genera alerta y correo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RN-09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solo inserción no se editan ni se eliminan, ni siquiera por el Administrador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se crea con al menos un activo</w:t>
            </w:r>
          </w:p>
        </w:tc>
      </w:tr>
      <w:tr>
        <w:trPr>
          <w:cantSplit/>
        </w:trPr>
        <w:tc>
          <w:tcPr>
            <w:tcW w:w="29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RI-16, RI-17, RI-18</w:t>
            </w:r>
          </w:p>
        </w:tc>
        <w:tc>
          <w:tcPr>
            <w:tcW w:w="5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Reglas por construir en la base: se prueban cuando la parte esté implementada (D-47)</w:t>
            </w:r>
          </w:p>
        </w:tc>
      </w:tr>
    </w:tbl>
    <w:bookmarkEnd w:id="43"/>
    <w:bookmarkStart w:id="44" w:name="usabilidad-y-estándar"/>
    <w:p>
      <w:pPr>
        <w:pStyle w:val="Heading3"/>
      </w:pPr>
      <w:r>
        <w:t xml:space="preserve">Usabilidad y estándar</w:t>
      </w:r>
    </w:p>
    <w:p>
      <w:pPr>
        <w:numPr>
          <w:ilvl w:val="0"/>
          <w:numId w:val="1006"/>
        </w:numPr>
        <w:pStyle w:val="Compact"/>
      </w:pPr>
      <w:r>
        <w:t xml:space="preserve">Casos estándar de interfaz gráfica, validación de datos de entrada, funcionales, informes y observaciones, adaptados de una planilla de casos estándar. Se marcan OK, NC (no cumple) o NA (no aplica), y los que no corresponden a SICMA, como impresiones, quedan como NA con su justificación.</w:t>
      </w:r>
    </w:p>
    <w:p>
      <w:pPr>
        <w:numPr>
          <w:ilvl w:val="0"/>
          <w:numId w:val="1006"/>
        </w:numPr>
        <w:pStyle w:val="Compact"/>
      </w:pPr>
      <w:r>
        <w:t xml:space="preserve">Evaluación con la escala SUS a usuarios de TI (RNF-USO-01).</w:t>
      </w:r>
    </w:p>
    <w:p>
      <w:pPr>
        <w:numPr>
          <w:ilvl w:val="0"/>
          <w:numId w:val="1006"/>
        </w:numPr>
        <w:pStyle w:val="Compact"/>
      </w:pPr>
      <w:r>
        <w:t xml:space="preserve">Revisión de accesibilidad contra WCAG 2.2 AA (RNF-USO-02, nivel por validar en D-12).</w:t>
      </w:r>
    </w:p>
    <w:p>
      <w:pPr>
        <w:numPr>
          <w:ilvl w:val="0"/>
          <w:numId w:val="1006"/>
        </w:numPr>
        <w:pStyle w:val="Compact"/>
      </w:pPr>
      <w:r>
        <w:t xml:space="preserve">Revisión de los mockups de SICMA-MCK frente a lo construido.</w:t>
      </w:r>
    </w:p>
    <w:bookmarkEnd w:id="44"/>
    <w:bookmarkEnd w:id="45"/>
    <w:bookmarkStart w:id="46" w:name="calendario"/>
    <w:p>
      <w:pPr>
        <w:pStyle w:val="Heading2"/>
      </w:pPr>
      <w:r>
        <w:t xml:space="preserve">Calendario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77"/>
        <w:gridCol w:w="2713"/>
        <w:gridCol w:w="4348"/>
      </w:tblGrid>
      <w:tr>
        <w:trPr>
          <w:tblHeader w:val="true"/>
          <w:cantSplit/>
        </w:trPr>
        <w:tc>
          <w:tcPr>
            <w:tcW w:w="177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tcW w:w="271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tcW w:w="43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Pruebas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 al 11 de octubre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 (SICMA-PLP), diseño de los casos (SICMA-CPR), entorno y datos de prueba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S10 y S11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25 de octubre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1: casos funcionales y de integridad de identidad y acceso, catálogos, activos y monitoreo ambiental, que son los primeros módulos entregados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S12 y S13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8 de noviembre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Ciclo 2: infraestructura, control de acceso, intervenciones y sus integraciones (IoT, Zabbix, lector SecuGen, Forms y Teams). Termina el desarrollo web y el endurecimiento de seguridad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S14 y S15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 al 22 de noviembre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3: inteligencia de negocio y app móvil, pruebas de seguridad (inyección SQL y SonarQube), rendimiento y carga. Fin de la Fase 2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final, informes de resultados, de seguridad y de rendimiento. Es la última semana de pruebas de la carta Gantt</w:t>
            </w:r>
          </w:p>
        </w:tc>
      </w:tr>
      <w:tr>
        <w:trPr>
          <w:cantSplit/>
        </w:trPr>
        <w:tc>
          <w:tcPr>
            <w:tcW w:w="1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S17 y S18</w:t>
            </w:r>
          </w:p>
        </w:tc>
        <w:tc>
          <w:tcPr>
            <w:tcW w:w="27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30 de noviembre al 13 de diciembre</w:t>
            </w:r>
          </w:p>
        </w:tc>
        <w:tc>
          <w:tcPr>
            <w:tcW w:w="43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casos de prueba y resultados dentro de la documentación final y la presentación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semanas salen de la carta Gantt de la Fase 1: la Fase 1 va de la S1 a la S4, la Fase 2 de la S5 a la S15 y la Fase 3 de la S16 a la S18. Las pruebas y la coordinación de calidad corren de la S6 a la S16. La S1 es la semana del 10 de agosto de 2026, así que la S9 es la del 5 al 11 de octubre (D-48). Las fechas de desarrollo salen de la base de tareas de Notion y son aproximadas.</w:t>
      </w:r>
    </w:p>
    <w:bookmarkEnd w:id="46"/>
    <w:bookmarkStart w:id="47" w:name="riesgos-de-las-pruebas"/>
    <w:p>
      <w:pPr>
        <w:pStyle w:val="Heading2"/>
      </w:pPr>
      <w:r>
        <w:t xml:space="preserve">Riesgos de las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59"/>
        <w:gridCol w:w="1065"/>
        <w:gridCol w:w="1269"/>
        <w:gridCol w:w="2165"/>
        <w:gridCol w:w="2180"/>
      </w:tblGrid>
      <w:tr>
        <w:trPr>
          <w:tblHeader w:val="true"/>
          <w:cantSplit/>
        </w:trPr>
        <w:tc>
          <w:tcPr>
            <w:tcW w:w="21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tcW w:w="106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Magnitud</w:t>
            </w:r>
          </w:p>
        </w:tc>
        <w:tc>
          <w:tcPr>
            <w:tcW w:w="12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Ocurrencia</w:t>
            </w:r>
          </w:p>
        </w:tc>
        <w:tc>
          <w:tcPr>
            <w:tcW w:w="216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Mitigación</w:t>
            </w:r>
          </w:p>
        </w:tc>
        <w:tc>
          <w:tcPr>
            <w:tcW w:w="21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Contingencia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entorno de pruebas no replica el clúster de tres nodos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Preparar el clúster antes del ciclo 1 y probar el failover con tiempo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la recuperación en un clúster reducido y declararlo en el informe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Una integración externa no está disponible (Zabbix, Teams, Power Automate, lector SecuGen)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Simuladores de cada integración, con el mismo formato de mensaje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con el simulador y repetir con el sistema real cuando se pueda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aún no implementa una validación que la base no cubre (RI-09)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integridad desde el primer ciclo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el defecto y bloquear el cierre mientras siga abierto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Pocas personas para ejecutar y revisar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los requerimientos Must y repartir roles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los Should para el último ciclo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de seguridad o de carga dañan el entorno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Ejecutarlas solo en el entorno de pruebas con respaldo previo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Restaurar el entorno desde el respaldo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Cambios de requerimientos durante las pruebas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ligados por ID a cada requerimiento y versión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los casos afectados y repetir el ciclo parcial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 que se mezclan con los reales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2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21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Marca visible y persistente (RN-06)</w:t>
            </w:r>
          </w:p>
        </w:tc>
        <w:tc>
          <w:tcPr>
            <w:tcW w:w="21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Depurar los registros simulados por la marca</w:t>
            </w:r>
          </w:p>
        </w:tc>
      </w:tr>
    </w:tbl>
    <w:bookmarkEnd w:id="47"/>
    <w:bookmarkStart w:id="48" w:name="artefactos"/>
    <w:p>
      <w:pPr>
        <w:pStyle w:val="Heading2"/>
      </w:pPr>
      <w:r>
        <w:t xml:space="preserve">Artefactos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654"/>
        <w:gridCol w:w="5184"/>
      </w:tblGrid>
      <w:tr>
        <w:trPr>
          <w:tblHeader w:val="true"/>
          <w:cantSplit/>
        </w:trPr>
        <w:tc>
          <w:tcPr>
            <w:tcW w:w="36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Artefacto</w:t>
            </w:r>
          </w:p>
        </w:tc>
        <w:tc>
          <w:tcPr>
            <w:tcW w:w="51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Este plan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prueba, con pasos, datos y resultado esperado, ligados a los requerimientos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Planilla de casos de prueba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 en hoja de cálculo de SICMA-CPR, para registrar el resultado obtenido por ciclo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defecto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reporte por cada defecto encontrado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evidencia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y respuestas de cada caso ejecutado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resultados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Resumen por ciclo: casos ejecutados, aprobados, fallidos y defectos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seguridad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las pruebas de seguridad y de OWASP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rendimiento y recuperación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carga, estrés y caída del nodo primary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inspección de código</w:t>
            </w:r>
          </w:p>
        </w:tc>
        <w:tc>
          <w:tcPr>
            <w:tcW w:w="51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del análisis de SonarQube</w:t>
            </w:r>
          </w:p>
        </w:tc>
      </w:tr>
    </w:tbl>
    <w:bookmarkEnd w:id="48"/>
    <w:bookmarkStart w:id="49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33"/>
        <w:gridCol w:w="3777"/>
        <w:gridCol w:w="2428"/>
      </w:tblGrid>
      <w:tr>
        <w:trPr>
          <w:tblHeader w:val="true"/>
          <w:cantSplit/>
        </w:trPr>
        <w:tc>
          <w:tcPr>
            <w:tcW w:w="26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requerimientos</w:t>
            </w:r>
          </w:p>
        </w:tc>
        <w:tc>
          <w:tcPr>
            <w:tcW w:w="377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Tipos de prueba</w:t>
            </w:r>
          </w:p>
        </w:tc>
        <w:tc>
          <w:tcPr>
            <w:tcW w:w="242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en SICMA-CPR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integridad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integridad, usabilidad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integración, integridad, rendimiento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rendimiento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integridad, seguridad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extremo a extremo, integridad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inspección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compatibilidad, usabilidad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RNF-CAL, RNF-MNT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RNF-USO, RNF-LEG, RNF-DES</w:t>
            </w:r>
          </w:p>
        </w:tc>
        <w:tc>
          <w:tcPr>
            <w:tcW w:w="37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Usabilidad, revisión, inspección</w:t>
            </w:r>
          </w:p>
        </w:tc>
        <w:tc>
          <w:tcPr>
            <w:tcW w:w="24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columna de casos se completa con los identificadores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CP-&lt;grupo&gt;-NN</w:t>
      </w:r>
      <w:r>
        <w:rPr>
          <w:sz w:val="22"/>
        </w:rPr>
        <w:t xml:space="preserve"> </w:t>
      </w:r>
      <w:r>
        <w:rPr>
          <w:sz w:val="22"/>
        </w:rPr>
        <w:t xml:space="preserve">cuando exista SICMA-CPR.</w:t>
      </w:r>
    </w:p>
    <w:bookmarkEnd w:id="49"/>
    <w:bookmarkStart w:id="50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pendientes siguen la numeración de los otros documentos. D-43 a D-48 son nuevos.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63"/>
        <w:gridCol w:w="2795"/>
        <w:gridCol w:w="2483"/>
        <w:gridCol w:w="1275"/>
        <w:gridCol w:w="1222"/>
      </w:tblGrid>
      <w:tr>
        <w:trPr>
          <w:tblHeader w:val="true"/>
          <w:cantSplit/>
        </w:trPr>
        <w:tc>
          <w:tcPr>
            <w:tcW w:w="10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79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4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27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2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D-43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pruebas se hacen sobre un entorno propio o sobre la instalación que usa el equipo hoy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 de pruebas aparte con una copia de la base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D-44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cumple cada rol de pruebas. Decisión del usuario: Claudio Varas es el responsable y en la práctica las hacen los tres.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 es el responsable; ejecutan los tres integrantes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D-45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 de carga, seguridad y análisis estático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JMeter, k6 o Locust; OWASP ZAP y sqlmap; SonarQube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D-46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criterios de salida CS-01 a CS-06 y los valores de rendimiento son los que pide el docente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Los de este documento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D-47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Cuándo estarán construidas las reglas RI-11, RI-16, RI-17 y RI-18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prueban cuando existan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D-48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de calendario de cada semana de la carta Gantt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S1 es la semana del 10 de agosto de 2026, por lo que la S9 es la del 5 al 11 de octubre. Confirmado por el usuario.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D-02, D-03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Cómo se comunican Power Automate y el lector SecuGen con SICMA (correo con IMAP y agente del lector)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prueba con el flujo y el lector reales o con simuladores del mensaje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Ley 21.719 sobre datos personales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contra la Ley 19.628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>
            <w:tcW w:w="279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de las intervenciones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</w:t>
            </w:r>
          </w:p>
        </w:tc>
        <w:tc>
          <w:tcPr>
            <w:tcW w:w="12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>
            <w:tcW w:w="12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50"/>
    <w:bookmarkStart w:id="51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69"/>
        <w:gridCol w:w="5869"/>
      </w:tblGrid>
      <w:tr>
        <w:trPr>
          <w:tblHeader w:val="true"/>
          <w:cantSplit/>
        </w:trPr>
        <w:tc>
          <w:tcPr>
            <w:tcW w:w="29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86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Caso de prueba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Conjunto de pasos, datos y resultado esperado para comprobar un requerimiento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Ciclo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pasada completa de ejecución de los casos, seguida de corrección y regresión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Caja negra, gris y blanca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sin ver el código, viendo la base de datos, o revisando el código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Regresión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Repetir pruebas después de una corrección para ver que nada más se rompió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entrada y de salida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Condiciones para empezar un ciclo y para darlo por terminado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Severidad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tan grave es un defecto: crítica, alta, media o baja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Captura, respuesta o consulta que prueba el resultado de un caso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Failover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Paso del servicio a otro nodo cuando cae el principal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Escala de usabilidad de un cuestionario corto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las diez categorías de riesgo más comunes en aplicaciones web</w:t>
            </w:r>
          </w:p>
        </w:tc>
      </w:tr>
      <w:tr>
        <w:trPr>
          <w:cantSplit/>
        </w:trPr>
        <w:tc>
          <w:tcPr>
            <w:tcW w:w="29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NC, NA</w:t>
            </w:r>
          </w:p>
        </w:tc>
        <w:tc>
          <w:tcPr>
            <w:tcW w:w="586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cumple y no aplica, en los casos estándar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v1.1. Diagrama de Clases.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v1.1. Diagramas de Actividad.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SICMA-BDD v1.1. Modelo de Base de Datos.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[7] SICMA-MCK v1.1. Mockups.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[8] SICMA-CPR v1.1. Casos de Prueba.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[9] ISO/IEC/IEEE 29119-1:2022 y 29119-3:2021. Software and systems engineering, Software testing.</w:t>
      </w:r>
    </w:p>
    <w:p>
      <w:pPr>
        <w:pStyle w:val="Compact"/>
        <w:spacing w:after="60"/>
        <w:ind w:left="510" w:hanging="510"/>
      </w:pPr>
      <w:r>
        <w:rPr>
          <w:b w:val="0"/>
        </w:rPr>
        <w:t>[10] ISO/IEC 25010:2011. Systems and software engineering, Systems and software Quality Requirements and Evaluation (SQuaRE), System and software quality models.</w:t>
      </w:r>
    </w:p>
    <w:p>
      <w:pPr>
        <w:pStyle w:val="Compact"/>
        <w:spacing w:after="60"/>
        <w:ind w:left="510" w:hanging="510"/>
      </w:pPr>
      <w:r>
        <w:rPr>
          <w:b w:val="0"/>
        </w:rPr>
        <w:t>[11] IEEE Std 829-2008. IEEE Standard for Software and System Test Documentation.</w:t>
      </w:r>
    </w:p>
    <w:p>
      <w:pPr>
        <w:pStyle w:val="Compact"/>
        <w:spacing w:after="60"/>
        <w:ind w:left="510" w:hanging="510"/>
      </w:pPr>
      <w:r>
        <w:rPr>
          <w:b w:val="0"/>
        </w:rPr>
        <w:t>[12] OWASP Foundation. (2021). OWASP Top 10:2021. https://owasp.org/Top10/</w:t>
      </w:r>
    </w:p>
    <w:p>
      <w:pPr>
        <w:pStyle w:val="Compact"/>
        <w:spacing w:after="60"/>
        <w:ind w:left="510" w:hanging="510"/>
      </w:pPr>
      <w:r>
        <w:rPr>
          <w:b w:val="0"/>
        </w:rPr>
        <w:t>[13] W3C. (2023). Web Content Accessibility Guidelines (WCAG) 2.2. W3C Recommendation. https://www.w3.org/TR/WCAG22/</w:t>
      </w:r>
    </w:p>
    <w:bookmarkEnd w:id="51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SICMA-PLP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Plan de Pruebas</dc:title>
  <dc:creator/>
  <cp:keywords/>
  <dcterms:created xsi:type="dcterms:W3CDTF">2026-10-10T17:14:20Z</dcterms:created>
  <dcterms:modified xsi:type="dcterms:W3CDTF">2026-10-10T17:14:20Z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SICMA-PLP · Versión 0.3 · Borrador</vt:lpwstr>
  </property>
</Properties>
</file>