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Requerimientos</w:t>
      </w:r>
    </w:p>
    <w:p>
      <w:pPr>
        <w:pStyle w:val="Subtitle"/>
      </w:pPr>
      <w:r>
        <w:t>SICMA-REQ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5</w:t>
      </w:r>
    </w:p>
    <w:p>
      <w:pPr>
        <w:pStyle w:val="toc2"/>
      </w:pPr>
      <w:r>
        <w:t>Identidad y acceso (RF-ID)</w:t>
      </w:r>
      <w:r>
        <w:tab/>
      </w:r>
      <w:r>
        <w:t>5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6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7</w:t>
      </w:r>
    </w:p>
    <w:p>
      <w:pPr>
        <w:pStyle w:val="toc2"/>
      </w:pPr>
      <w:r>
        <w:t>Plataforma (RF-PLT)</w:t>
      </w:r>
      <w:r>
        <w:tab/>
      </w:r>
      <w:r>
        <w:t>8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10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11</w:t>
      </w:r>
    </w:p>
    <w:p>
      <w:pPr>
        <w:pStyle w:val="toc1"/>
      </w:pPr>
      <w:r>
        <w:t>Valores de referencia de los no funcionales</w:t>
      </w:r>
      <w:r>
        <w:tab/>
      </w:r>
      <w:r>
        <w:t>11</w:t>
      </w:r>
    </w:p>
    <w:p>
      <w:pPr>
        <w:pStyle w:val="toc1"/>
      </w:pPr>
      <w:r>
        <w:t>Criterios globales de aceptación</w:t>
      </w:r>
      <w:r>
        <w:tab/>
      </w:r>
      <w:r>
        <w:t>12</w:t>
      </w:r>
    </w:p>
    <w:p>
      <w:pPr>
        <w:pStyle w:val="toc1"/>
      </w:pPr>
      <w:r>
        <w:t>Historias de usuario</w:t>
      </w:r>
      <w:r>
        <w:tab/>
      </w:r>
      <w:r>
        <w:t>12</w:t>
      </w:r>
    </w:p>
    <w:p>
      <w:pPr>
        <w:pStyle w:val="toc1"/>
      </w:pPr>
      <w:r>
        <w:t>Verificación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 y referencias</w:t>
      </w:r>
      <w:r>
        <w:tab/>
      </w:r>
      <w:r>
        <w:t>16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SICMA tiene 36 requerimientos funcionales, 20 no funcionales y 21 historias de usuario; 37 de los 56 requerimientos tienen prioridad Must.</w:t>
      </w:r>
    </w:p>
    <w:p>
      <w:pPr>
        <w:pStyle w:val="BodyText"/>
      </w:pPr>
      <w: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</w:pPr>
      <w: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</w:pPr>
      <w: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</w:pPr>
      <w: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</w:pPr>
      <w: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Crea, modifica y desactiva cuentas, asigna roles, asigna el Técnico a cada intervención aprobada y mantiene los catálogos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los dashboards con los indicadores de gestión y aprueba o rechaza las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la plataforma: activos, lecturas, eventos e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Enrola huellas y revoca permisos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</w:pPr>
      <w: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</w:pPr>
      <w:r>
        <w:t xml:space="preserve">Cada requerimiento tiene un identificador</w:t>
      </w:r>
      <w:r>
        <w:t xml:space="preserve"> </w:t>
      </w:r>
      <w:r>
        <w:rPr>
          <w:rStyle w:val="VerbatimChar"/>
        </w:rPr>
        <w:t xml:space="preserve">RF-&lt;grupo&gt;-NN</w:t>
      </w:r>
      <w:r>
        <w:t xml:space="preserve"> </w:t>
      </w:r>
      <w: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asignar a cada usuario uno de los roles Administrador, Jefatura, Técnico o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asociar un usuario a su identificador de huella en el lector HID.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debe poder aprobar o rechazar la intervención en Microsoft Teams, con un flujo de Power Automate que entrega la decisión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</w:pPr>
      <w: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tratamiento de datos personales debe cumplir la Ley 19.628. No se almacenan huellas. Falta verificar la Ley 21.719 (D-09).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USB a un PC que compara la huella y envía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</w:pPr>
      <w: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SICMA, con su identificador de huella en el lector HID.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RF-ID-04, RF-ACC-02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Administrador, Jefatura, Técnico o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</w:pPr>
      <w: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Administrador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</w:pPr>
      <w: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aprobada no puede cambiar activos, horario ni impacto; cualquier cambio la devuelve a Pendiente.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</w:pPr>
      <w: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</w:pPr>
      <w:r>
        <w:t xml:space="preserve">Formato: Como (rol), quiero (acción), para (beneficio).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Quiero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 con mi correo y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acceder a las funciones de mi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mi contraseña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volver a ingresar si la olvido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estado cuando no estoy en mi 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operar todas las funciones de mi rol desde la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</w:pPr>
      <w: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el lector HID: acceso permitido y denegado quedan registrados, sin huellas almacenadas.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y software del lector HID,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envía el resultado a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en el modelo de casos de uso.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Fabricante del lector biométrico de huellas usado en el control de acceso.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SICMA-PLP v1.0. Plan de Pruebas.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