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  <w:cantSplit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 y SICMA-CLA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los diagramas AD-06 y AD-07 con el código del 25 de octubre (commit 59710a5d): enrolamiento de personal externo con el lector SecuGen y plantillas cifradas solo en el PC del lector, y registro de accesos con la clave del agente y los permisos por día. Se cierran D-02 y D-03. Corrección del mismo día: AD-09 se redibuja con el flujo real (la asignación no cambia el estado; cierre como Ejecutada o Fallida).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  <w:cantSplit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  <w:cantSplit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147343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7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CU-16 · 3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Contratistas o el Administrador registran a la persona externa y piden su enrolamiento. SICMA crea la solicitud y el agente del lector captura la huella y guarda la plantilla cifrada en su PC; a SICMA solo llega el identificador. SICMA verifica que el identificador no pertenezca a otra persona; si ya existe, rechaza el enrolamiento y avisa el motivo. Si está libre, guarda a la persona (RI-13). Contratistas o el Administrador la habilitan y definen sus permisos por día, y SICMA guarda los permisos y el cambio de habilitación. SICMA nunca guarda imágenes ni plantillas de huella.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260453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6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agente del lector compara la huella con las plantillas cifradas de su PC y envía a SICMA el identificador, el punto de acceso y su clave. Si la clave o el mensaje no son válidos, SICMA lo rechaza y registra el error. Si la persona no tiene permiso vigente en ese punto, guarda el intento como denegado, aunque el lector la reconozca (RN-07 de SICMA-REQ). En los demás casos guarda el intento permitido con la persona, la fecha y el punto de acceso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2944812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4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CU-21 a CU-23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Administrador elige el técnico, el horario, los activos y el personal externo de una intervención Aprobada; en cualquier otro estado SICMA rechaza la acción. SICMA guarda la asignación, crea los permisos de acceso del personal externo y pide agendar la cita enviando un correo al flujo de Power Automate. La intervención sigue Aprobada: no existe un estado Asignada. El personal externo verifica su huella desde 1 hora antes del inicio. Para iniciarla debe haber técnico asignado y todo el personal verificado; solo el técnico asignado o un Administrador pueden hacerlo, y la intervención pasa a En ejecución. Al cerrarla, el técnico registra el resultado y una observación: queda Ejecutada o Fallida, se revocan los permisos del personal externo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  <w:cantSplit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  <w:cantSplit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 a la API.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 en el código: Pendiente, Aprobada, Rechazada, En ejecución, Ejecutada, Fallida y Cancelada; el modelo declara también CambiosSolicitados, que ningún flujo asigna.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  <w:cantSplit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Pendiente, Aprobada, Rechazada, En ejecución, Ejecutada, Fallida, Cancelada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