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0.159912109375" w:firstLine="0"/>
        <w:jc w:val="righ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-BeyondSoftware-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759765625" w:line="240" w:lineRule="auto"/>
        <w:ind w:left="0" w:right="2233.15673828125" w:firstLine="0"/>
        <w:jc w:val="righ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  <w:drawing>
          <wp:inline distB="19050" distT="19050" distL="19050" distR="19050">
            <wp:extent cx="2526244" cy="102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44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0.5181884765625" w:firstLine="0"/>
        <w:jc w:val="right"/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689697265625" w:line="240" w:lineRule="auto"/>
        <w:ind w:left="15.19332885742187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8.025188446044922"/>
          <w:szCs w:val="28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8.025188446044922"/>
          <w:szCs w:val="28.025188446044922"/>
          <w:rtl w:val="0"/>
        </w:rPr>
        <w:t xml:space="preserve">Descripción de integración entre subsistemas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center"/>
        <w:rPr>
          <w:rFonts w:ascii="Lora" w:cs="Lora" w:eastAsia="Lora" w:hAnsi="Lora"/>
          <w:sz w:val="24.00846290588379"/>
          <w:szCs w:val="24.00846290588379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309.735107421875" w:top="1426.1962890625" w:left="1442.5296020507812" w:right="1745.1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